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927E3B2">
      <w:pPr>
        <w:spacing w:line="360" w:lineRule="auto"/>
        <w:jc w:val="center"/>
        <w:rPr>
          <w:rFonts w:ascii="宋体" w:hAnsi="宋体"/>
          <w:b/>
          <w:bCs/>
          <w:sz w:val="36"/>
          <w:szCs w:val="36"/>
        </w:rPr>
      </w:pPr>
    </w:p>
    <w:p w14:paraId="2A56EEE5">
      <w:pPr>
        <w:spacing w:line="360" w:lineRule="auto"/>
        <w:rPr>
          <w:rFonts w:ascii="宋体" w:hAnsi="宋体"/>
          <w:bCs/>
          <w:sz w:val="28"/>
          <w:szCs w:val="28"/>
        </w:rPr>
      </w:pPr>
    </w:p>
    <w:p w14:paraId="641788C0">
      <w:pPr>
        <w:spacing w:line="360" w:lineRule="auto"/>
        <w:jc w:val="center"/>
        <w:rPr>
          <w:rFonts w:ascii="宋体" w:hAnsi="宋体"/>
          <w:sz w:val="36"/>
          <w:szCs w:val="36"/>
        </w:rPr>
      </w:pPr>
      <w:r>
        <w:rPr>
          <w:rFonts w:hint="eastAsia" w:ascii="宋体" w:hAnsi="宋体"/>
          <w:sz w:val="36"/>
          <w:szCs w:val="36"/>
          <w:highlight w:val="yellow"/>
          <w:lang w:val="en-US" w:eastAsia="zh-CN"/>
        </w:rPr>
        <w:t>XXXXXXXX</w:t>
      </w:r>
      <w:r>
        <w:rPr>
          <w:rFonts w:hint="eastAsia" w:ascii="宋体" w:hAnsi="宋体"/>
          <w:sz w:val="36"/>
          <w:szCs w:val="36"/>
        </w:rPr>
        <w:t>（一审）</w:t>
      </w:r>
    </w:p>
    <w:p w14:paraId="75E62B7A">
      <w:pPr>
        <w:spacing w:line="360" w:lineRule="auto"/>
        <w:jc w:val="center"/>
        <w:rPr>
          <w:rFonts w:ascii="宋体" w:hAnsi="宋体"/>
          <w:sz w:val="32"/>
          <w:szCs w:val="32"/>
        </w:rPr>
      </w:pPr>
    </w:p>
    <w:p w14:paraId="1A1EDF95">
      <w:pPr>
        <w:spacing w:line="360" w:lineRule="auto"/>
        <w:jc w:val="center"/>
        <w:rPr>
          <w:rFonts w:ascii="宋体" w:hAnsi="宋体"/>
          <w:sz w:val="32"/>
          <w:szCs w:val="32"/>
        </w:rPr>
      </w:pPr>
    </w:p>
    <w:p w14:paraId="2D741F23">
      <w:pPr>
        <w:spacing w:line="360" w:lineRule="auto"/>
        <w:jc w:val="center"/>
        <w:rPr>
          <w:rFonts w:ascii="宋体" w:hAnsi="宋体"/>
          <w:sz w:val="32"/>
          <w:szCs w:val="32"/>
        </w:rPr>
      </w:pPr>
    </w:p>
    <w:p w14:paraId="5ADB4A8B">
      <w:pPr>
        <w:spacing w:line="360" w:lineRule="auto"/>
        <w:jc w:val="center"/>
        <w:rPr>
          <w:rFonts w:ascii="宋体" w:hAnsi="宋体"/>
          <w:sz w:val="72"/>
          <w:szCs w:val="72"/>
        </w:rPr>
      </w:pPr>
      <w:r>
        <w:rPr>
          <w:rFonts w:hint="eastAsia" w:ascii="宋体" w:hAnsi="宋体"/>
          <w:sz w:val="72"/>
          <w:szCs w:val="72"/>
        </w:rPr>
        <w:t>招标文件</w:t>
      </w:r>
    </w:p>
    <w:p w14:paraId="29C7A59E">
      <w:pPr>
        <w:spacing w:line="560" w:lineRule="exact"/>
        <w:jc w:val="center"/>
        <w:rPr>
          <w:rFonts w:ascii="宋体" w:hAnsi="宋体"/>
          <w:b/>
          <w:sz w:val="24"/>
          <w:szCs w:val="22"/>
        </w:rPr>
      </w:pPr>
      <w:r>
        <w:rPr>
          <w:rFonts w:ascii="宋体" w:hAnsi="宋体"/>
          <w:b/>
          <w:sz w:val="24"/>
          <w:szCs w:val="22"/>
        </w:rPr>
        <w:t xml:space="preserve"> </w:t>
      </w:r>
    </w:p>
    <w:p w14:paraId="6B29602F">
      <w:pPr>
        <w:spacing w:line="360" w:lineRule="auto"/>
        <w:jc w:val="center"/>
        <w:rPr>
          <w:rFonts w:ascii="宋体" w:hAnsi="宋体"/>
          <w:sz w:val="28"/>
          <w:szCs w:val="28"/>
        </w:rPr>
      </w:pPr>
      <w:r>
        <w:rPr>
          <w:rFonts w:hint="eastAsia" w:ascii="宋体" w:hAnsi="宋体"/>
          <w:sz w:val="28"/>
          <w:szCs w:val="28"/>
        </w:rPr>
        <w:t xml:space="preserve"> </w:t>
      </w:r>
    </w:p>
    <w:p w14:paraId="2D5BD759">
      <w:pPr>
        <w:spacing w:line="360" w:lineRule="auto"/>
        <w:jc w:val="center"/>
        <w:rPr>
          <w:rFonts w:ascii="宋体" w:hAnsi="宋体"/>
          <w:sz w:val="28"/>
          <w:szCs w:val="28"/>
        </w:rPr>
      </w:pPr>
    </w:p>
    <w:p w14:paraId="376136F1">
      <w:pPr>
        <w:spacing w:line="360" w:lineRule="auto"/>
        <w:jc w:val="center"/>
        <w:rPr>
          <w:rFonts w:ascii="宋体" w:hAnsi="宋体"/>
          <w:sz w:val="28"/>
          <w:szCs w:val="28"/>
        </w:rPr>
      </w:pPr>
      <w:r>
        <w:rPr>
          <w:rFonts w:hint="eastAsia" w:ascii="宋体" w:hAnsi="宋体" w:eastAsia="宋体" w:cs="宋体"/>
          <w:color w:val="000000"/>
          <w:sz w:val="52"/>
          <w:szCs w:val="52"/>
          <w:highlight w:val="none"/>
          <w:lang w:val="en-US" w:eastAsia="zh-CN"/>
        </w:rPr>
        <w:t>（不见面</w:t>
      </w:r>
      <w:r>
        <w:rPr>
          <w:rFonts w:hint="eastAsia" w:ascii="宋体" w:hAnsi="宋体" w:cs="宋体"/>
          <w:color w:val="000000"/>
          <w:sz w:val="52"/>
          <w:szCs w:val="52"/>
          <w:highlight w:val="none"/>
          <w:lang w:val="en-US" w:eastAsia="zh-CN"/>
        </w:rPr>
        <w:t>开</w:t>
      </w:r>
      <w:r>
        <w:rPr>
          <w:rFonts w:hint="eastAsia" w:ascii="宋体" w:hAnsi="宋体" w:eastAsia="宋体" w:cs="宋体"/>
          <w:color w:val="000000"/>
          <w:sz w:val="52"/>
          <w:szCs w:val="52"/>
          <w:highlight w:val="none"/>
          <w:lang w:val="en-US" w:eastAsia="zh-CN"/>
        </w:rPr>
        <w:t>标）</w:t>
      </w:r>
    </w:p>
    <w:p w14:paraId="27858B93">
      <w:pPr>
        <w:spacing w:line="360" w:lineRule="auto"/>
        <w:jc w:val="center"/>
        <w:rPr>
          <w:rFonts w:ascii="宋体" w:hAnsi="宋体"/>
          <w:sz w:val="28"/>
          <w:szCs w:val="28"/>
        </w:rPr>
      </w:pPr>
    </w:p>
    <w:p w14:paraId="49485FF1">
      <w:pPr>
        <w:spacing w:line="360" w:lineRule="auto"/>
        <w:jc w:val="center"/>
        <w:rPr>
          <w:rFonts w:ascii="宋体" w:hAnsi="宋体"/>
          <w:sz w:val="28"/>
          <w:szCs w:val="28"/>
        </w:rPr>
      </w:pPr>
    </w:p>
    <w:p w14:paraId="78957CB6">
      <w:pPr>
        <w:pStyle w:val="16"/>
      </w:pPr>
    </w:p>
    <w:p w14:paraId="19DE3BFE">
      <w:pPr>
        <w:pStyle w:val="16"/>
      </w:pPr>
    </w:p>
    <w:p w14:paraId="7DB04C12">
      <w:pPr>
        <w:pStyle w:val="16"/>
      </w:pPr>
    </w:p>
    <w:p w14:paraId="6F6355B5">
      <w:pPr>
        <w:pStyle w:val="16"/>
      </w:pPr>
    </w:p>
    <w:p w14:paraId="50DBF4AB">
      <w:pPr>
        <w:spacing w:line="360" w:lineRule="auto"/>
        <w:jc w:val="center"/>
        <w:rPr>
          <w:rFonts w:ascii="宋体" w:hAnsi="宋体"/>
          <w:sz w:val="28"/>
          <w:szCs w:val="28"/>
        </w:rPr>
      </w:pPr>
    </w:p>
    <w:p w14:paraId="21461DF6">
      <w:pPr>
        <w:spacing w:line="360" w:lineRule="auto"/>
        <w:jc w:val="center"/>
        <w:rPr>
          <w:rFonts w:ascii="宋体" w:hAnsi="宋体"/>
          <w:sz w:val="28"/>
          <w:szCs w:val="28"/>
        </w:rPr>
      </w:pPr>
    </w:p>
    <w:p w14:paraId="19F8380B">
      <w:pPr>
        <w:ind w:firstLine="1960" w:firstLineChars="700"/>
        <w:rPr>
          <w:rFonts w:ascii="宋体" w:hAnsi="宋体"/>
          <w:sz w:val="28"/>
          <w:szCs w:val="28"/>
        </w:rPr>
      </w:pPr>
      <w:r>
        <w:rPr>
          <w:rFonts w:hint="eastAsia" w:ascii="宋体" w:hAnsi="宋体"/>
          <w:sz w:val="28"/>
          <w:szCs w:val="28"/>
        </w:rPr>
        <w:t>招   标   人：</w:t>
      </w:r>
      <w:r>
        <w:rPr>
          <w:rFonts w:hint="eastAsia" w:ascii="宋体" w:hAnsi="宋体"/>
          <w:sz w:val="28"/>
          <w:szCs w:val="28"/>
          <w:highlight w:val="yellow"/>
          <w:u w:val="single"/>
        </w:rPr>
        <w:t>江苏</w:t>
      </w:r>
      <w:r>
        <w:rPr>
          <w:rFonts w:hint="eastAsia" w:ascii="宋体" w:hAnsi="宋体"/>
          <w:sz w:val="28"/>
          <w:szCs w:val="28"/>
          <w:highlight w:val="yellow"/>
          <w:u w:val="single"/>
          <w:lang w:val="en-US" w:eastAsia="zh-CN"/>
        </w:rPr>
        <w:t>XXXXXXXXXXXX</w:t>
      </w:r>
      <w:r>
        <w:rPr>
          <w:rFonts w:hint="eastAsia" w:ascii="宋体" w:hAnsi="宋体"/>
          <w:sz w:val="28"/>
          <w:szCs w:val="28"/>
          <w:u w:val="single"/>
        </w:rPr>
        <w:t xml:space="preserve">  </w:t>
      </w:r>
    </w:p>
    <w:p w14:paraId="628AB105">
      <w:pPr>
        <w:ind w:firstLine="1960" w:firstLineChars="700"/>
        <w:rPr>
          <w:rFonts w:ascii="宋体" w:hAnsi="宋体"/>
          <w:sz w:val="28"/>
          <w:szCs w:val="28"/>
        </w:rPr>
      </w:pPr>
      <w:r>
        <w:rPr>
          <w:rFonts w:hint="eastAsia" w:ascii="宋体" w:hAnsi="宋体"/>
          <w:sz w:val="28"/>
          <w:szCs w:val="28"/>
        </w:rPr>
        <w:t>招标代理机构：</w:t>
      </w:r>
      <w:r>
        <w:rPr>
          <w:rFonts w:hint="eastAsia" w:ascii="宋体" w:hAnsi="宋体"/>
          <w:sz w:val="28"/>
          <w:szCs w:val="28"/>
          <w:highlight w:val="yellow"/>
          <w:u w:val="single"/>
          <w:lang w:val="en-US" w:eastAsia="zh-CN"/>
        </w:rPr>
        <w:t>XXXXXXXXXXXX</w:t>
      </w:r>
      <w:r>
        <w:rPr>
          <w:rFonts w:hint="eastAsia" w:ascii="宋体" w:hAnsi="宋体"/>
          <w:sz w:val="28"/>
          <w:szCs w:val="28"/>
          <w:u w:val="single"/>
        </w:rPr>
        <w:t xml:space="preserve"> </w:t>
      </w:r>
    </w:p>
    <w:p w14:paraId="0B3917EB">
      <w:pPr>
        <w:spacing w:line="360" w:lineRule="auto"/>
        <w:rPr>
          <w:rFonts w:ascii="宋体" w:hAnsi="宋体"/>
          <w:sz w:val="28"/>
          <w:szCs w:val="28"/>
        </w:rPr>
        <w:sectPr>
          <w:headerReference r:id="rId3" w:type="default"/>
          <w:footerReference r:id="rId4" w:type="default"/>
          <w:footerReference r:id="rId5" w:type="even"/>
          <w:pgSz w:w="11906" w:h="16838"/>
          <w:pgMar w:top="1134" w:right="1134" w:bottom="1134" w:left="1134" w:header="851" w:footer="992" w:gutter="0"/>
          <w:cols w:space="720" w:num="1"/>
          <w:docGrid w:type="lines" w:linePitch="312" w:charSpace="0"/>
        </w:sectPr>
      </w:pPr>
      <w:r>
        <w:rPr>
          <w:rFonts w:hint="eastAsia" w:ascii="宋体" w:hAnsi="宋体"/>
          <w:sz w:val="28"/>
          <w:szCs w:val="28"/>
        </w:rPr>
        <w:t xml:space="preserve">                            </w:t>
      </w:r>
      <w:r>
        <w:rPr>
          <w:rFonts w:hint="eastAsia" w:ascii="宋体" w:hAnsi="宋体"/>
          <w:sz w:val="28"/>
          <w:szCs w:val="28"/>
          <w:u w:val="single"/>
        </w:rPr>
        <w:t xml:space="preserve">  </w:t>
      </w:r>
      <w:r>
        <w:rPr>
          <w:rFonts w:hint="eastAsia" w:ascii="宋体" w:hAnsi="宋体"/>
          <w:sz w:val="28"/>
          <w:szCs w:val="28"/>
          <w:highlight w:val="yellow"/>
          <w:u w:val="single"/>
          <w:lang w:val="en-US" w:eastAsia="zh-CN"/>
        </w:rPr>
        <w:t>XXX</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highlight w:val="yellow"/>
          <w:u w:val="single"/>
          <w:lang w:val="en-US" w:eastAsia="zh-CN"/>
        </w:rPr>
        <w:t>XXX</w:t>
      </w:r>
      <w:r>
        <w:rPr>
          <w:rFonts w:hint="eastAsia" w:ascii="宋体" w:hAnsi="宋体"/>
          <w:sz w:val="28"/>
          <w:szCs w:val="28"/>
        </w:rPr>
        <w:t>月</w:t>
      </w:r>
      <w:bookmarkStart w:id="0" w:name="_Toc369077541"/>
      <w:bookmarkStart w:id="1" w:name="_Toc368759509"/>
      <w:bookmarkStart w:id="2" w:name="_Toc363326675"/>
    </w:p>
    <w:p w14:paraId="7C0FD2BD">
      <w:pPr>
        <w:spacing w:line="360" w:lineRule="auto"/>
        <w:rPr>
          <w:rFonts w:hint="eastAsia"/>
          <w:sz w:val="48"/>
          <w:szCs w:val="48"/>
        </w:rPr>
      </w:pPr>
      <w:bookmarkStart w:id="3" w:name="_Toc387526166"/>
      <w:r>
        <w:rPr>
          <w:rFonts w:hint="eastAsia"/>
          <w:sz w:val="48"/>
          <w:szCs w:val="48"/>
        </w:rPr>
        <w:t xml:space="preserve">               </w:t>
      </w:r>
    </w:p>
    <w:p w14:paraId="5A74A3AD">
      <w:pPr>
        <w:spacing w:line="360" w:lineRule="auto"/>
        <w:rPr>
          <w:rFonts w:hint="eastAsia"/>
          <w:sz w:val="48"/>
          <w:szCs w:val="48"/>
        </w:rPr>
      </w:pPr>
    </w:p>
    <w:p w14:paraId="4A60BE89">
      <w:pPr>
        <w:spacing w:line="360" w:lineRule="auto"/>
        <w:jc w:val="center"/>
        <w:rPr>
          <w:rFonts w:hint="eastAsia"/>
          <w:sz w:val="48"/>
          <w:szCs w:val="48"/>
        </w:rPr>
      </w:pPr>
      <w:r>
        <w:rPr>
          <w:rFonts w:hint="eastAsia"/>
          <w:sz w:val="48"/>
          <w:szCs w:val="48"/>
        </w:rPr>
        <w:t>目  录</w:t>
      </w:r>
    </w:p>
    <w:p w14:paraId="6F5780F5">
      <w:pPr>
        <w:pStyle w:val="61"/>
        <w:rPr>
          <w:rFonts w:hint="eastAsia"/>
          <w:sz w:val="48"/>
          <w:szCs w:val="48"/>
        </w:rPr>
      </w:pPr>
    </w:p>
    <w:p w14:paraId="705D5F80"/>
    <w:p w14:paraId="7C7A59D2">
      <w:pPr>
        <w:pStyle w:val="30"/>
        <w:tabs>
          <w:tab w:val="right" w:leader="dot" w:pos="9628"/>
        </w:tabs>
        <w:adjustRightInd w:val="0"/>
        <w:snapToGrid w:val="0"/>
        <w:spacing w:line="480" w:lineRule="auto"/>
        <w:rPr>
          <w:rFonts w:ascii="宋体" w:hAnsi="宋体"/>
          <w:szCs w:val="22"/>
        </w:rPr>
      </w:pPr>
      <w:r>
        <w:rPr>
          <w:sz w:val="48"/>
          <w:szCs w:val="48"/>
        </w:rPr>
        <w:fldChar w:fldCharType="begin"/>
      </w:r>
      <w:r>
        <w:rPr>
          <w:sz w:val="48"/>
          <w:szCs w:val="48"/>
        </w:rPr>
        <w:instrText xml:space="preserve">TOC \o "1-3" \h  \u </w:instrText>
      </w:r>
      <w:r>
        <w:rPr>
          <w:sz w:val="48"/>
          <w:szCs w:val="48"/>
        </w:rPr>
        <w:fldChar w:fldCharType="separate"/>
      </w:r>
      <w:r>
        <w:fldChar w:fldCharType="begin"/>
      </w:r>
      <w:r>
        <w:instrText xml:space="preserve"> HYPERLINK \l "_Toc57041882" </w:instrText>
      </w:r>
      <w:r>
        <w:fldChar w:fldCharType="separate"/>
      </w:r>
      <w:r>
        <w:rPr>
          <w:rStyle w:val="54"/>
          <w:rFonts w:hint="eastAsia" w:ascii="宋体" w:hAnsi="宋体"/>
          <w:color w:val="auto"/>
        </w:rPr>
        <w:t>第一章</w:t>
      </w:r>
      <w:r>
        <w:rPr>
          <w:rStyle w:val="54"/>
          <w:rFonts w:ascii="宋体" w:hAnsi="宋体"/>
          <w:color w:val="auto"/>
        </w:rPr>
        <w:t xml:space="preserve">  </w:t>
      </w:r>
      <w:r>
        <w:rPr>
          <w:rStyle w:val="54"/>
          <w:rFonts w:hint="eastAsia" w:ascii="宋体" w:hAnsi="宋体"/>
          <w:color w:val="auto"/>
        </w:rPr>
        <w:t>招标公告</w:t>
      </w:r>
      <w:r>
        <w:rPr>
          <w:rFonts w:ascii="宋体" w:hAnsi="宋体"/>
        </w:rPr>
        <w:tab/>
      </w:r>
      <w:r>
        <w:rPr>
          <w:rFonts w:ascii="宋体" w:hAnsi="宋体"/>
        </w:rPr>
        <w:fldChar w:fldCharType="begin"/>
      </w:r>
      <w:r>
        <w:rPr>
          <w:rFonts w:ascii="宋体" w:hAnsi="宋体"/>
        </w:rPr>
        <w:instrText xml:space="preserve"> PAGEREF _Toc57041882 \h </w:instrText>
      </w:r>
      <w:r>
        <w:rPr>
          <w:rFonts w:ascii="宋体" w:hAnsi="宋体"/>
        </w:rPr>
        <w:fldChar w:fldCharType="separate"/>
      </w:r>
      <w:r>
        <w:rPr>
          <w:rFonts w:ascii="宋体" w:hAnsi="宋体"/>
        </w:rPr>
        <w:t>3</w:t>
      </w:r>
      <w:r>
        <w:rPr>
          <w:rFonts w:ascii="宋体" w:hAnsi="宋体"/>
        </w:rPr>
        <w:fldChar w:fldCharType="end"/>
      </w:r>
      <w:r>
        <w:rPr>
          <w:rFonts w:ascii="宋体" w:hAnsi="宋体"/>
        </w:rPr>
        <w:fldChar w:fldCharType="end"/>
      </w:r>
    </w:p>
    <w:p w14:paraId="7CD4B523">
      <w:pPr>
        <w:pStyle w:val="30"/>
        <w:tabs>
          <w:tab w:val="right" w:leader="dot" w:pos="9628"/>
        </w:tabs>
        <w:adjustRightInd w:val="0"/>
        <w:snapToGrid w:val="0"/>
        <w:spacing w:line="480" w:lineRule="auto"/>
        <w:rPr>
          <w:rFonts w:ascii="宋体" w:hAnsi="宋体"/>
          <w:szCs w:val="22"/>
        </w:rPr>
      </w:pPr>
      <w:r>
        <w:fldChar w:fldCharType="begin"/>
      </w:r>
      <w:r>
        <w:instrText xml:space="preserve"> HYPERLINK \l "_Toc57041889" </w:instrText>
      </w:r>
      <w:r>
        <w:fldChar w:fldCharType="separate"/>
      </w:r>
      <w:r>
        <w:rPr>
          <w:rStyle w:val="54"/>
          <w:rFonts w:hint="eastAsia" w:ascii="宋体" w:hAnsi="宋体"/>
          <w:color w:val="auto"/>
        </w:rPr>
        <w:t>第二章</w:t>
      </w:r>
      <w:r>
        <w:rPr>
          <w:rStyle w:val="54"/>
          <w:rFonts w:ascii="宋体" w:hAnsi="宋体"/>
          <w:color w:val="auto"/>
        </w:rPr>
        <w:t xml:space="preserve">  </w:t>
      </w:r>
      <w:r>
        <w:rPr>
          <w:rStyle w:val="54"/>
          <w:rFonts w:hint="eastAsia" w:ascii="宋体" w:hAnsi="宋体"/>
          <w:color w:val="auto"/>
        </w:rPr>
        <w:t>投标人须知</w:t>
      </w:r>
      <w:r>
        <w:rPr>
          <w:rFonts w:ascii="宋体" w:hAnsi="宋体"/>
        </w:rPr>
        <w:tab/>
      </w:r>
      <w:r>
        <w:rPr>
          <w:rFonts w:hint="eastAsia" w:ascii="宋体" w:hAnsi="宋体"/>
          <w:lang w:val="en-US" w:eastAsia="zh-CN"/>
        </w:rPr>
        <w:t>7</w:t>
      </w:r>
      <w:r>
        <w:rPr>
          <w:rFonts w:ascii="宋体" w:hAnsi="宋体"/>
        </w:rPr>
        <w:fldChar w:fldCharType="end"/>
      </w:r>
    </w:p>
    <w:p w14:paraId="0735F6A1">
      <w:pPr>
        <w:pStyle w:val="30"/>
        <w:tabs>
          <w:tab w:val="right" w:leader="dot" w:pos="9628"/>
        </w:tabs>
        <w:adjustRightInd w:val="0"/>
        <w:snapToGrid w:val="0"/>
        <w:spacing w:line="480" w:lineRule="auto"/>
        <w:rPr>
          <w:rFonts w:ascii="宋体" w:hAnsi="宋体"/>
          <w:szCs w:val="22"/>
        </w:rPr>
      </w:pPr>
      <w:r>
        <w:fldChar w:fldCharType="begin"/>
      </w:r>
      <w:r>
        <w:instrText xml:space="preserve"> HYPERLINK \l "_Toc57041942" </w:instrText>
      </w:r>
      <w:r>
        <w:fldChar w:fldCharType="separate"/>
      </w:r>
      <w:r>
        <w:rPr>
          <w:rStyle w:val="54"/>
          <w:rFonts w:hint="eastAsia" w:ascii="宋体" w:hAnsi="宋体"/>
          <w:color w:val="auto"/>
        </w:rPr>
        <w:t>第三章</w:t>
      </w:r>
      <w:r>
        <w:rPr>
          <w:rStyle w:val="54"/>
          <w:rFonts w:ascii="宋体" w:hAnsi="宋体"/>
          <w:color w:val="auto"/>
        </w:rPr>
        <w:t xml:space="preserve"> </w:t>
      </w:r>
      <w:r>
        <w:rPr>
          <w:rStyle w:val="54"/>
          <w:rFonts w:hint="eastAsia" w:ascii="宋体" w:hAnsi="宋体"/>
          <w:color w:val="auto"/>
        </w:rPr>
        <w:t xml:space="preserve">评审办法 </w:t>
      </w:r>
      <w:r>
        <w:rPr>
          <w:rFonts w:ascii="宋体" w:hAnsi="宋体"/>
        </w:rPr>
        <w:tab/>
      </w:r>
      <w:r>
        <w:rPr>
          <w:rFonts w:ascii="宋体" w:hAnsi="宋体"/>
        </w:rPr>
        <w:fldChar w:fldCharType="begin"/>
      </w:r>
      <w:r>
        <w:rPr>
          <w:rFonts w:ascii="宋体" w:hAnsi="宋体"/>
        </w:rPr>
        <w:instrText xml:space="preserve"> PAGEREF _Toc57041942 \h </w:instrText>
      </w:r>
      <w:r>
        <w:rPr>
          <w:rFonts w:ascii="宋体" w:hAnsi="宋体"/>
        </w:rPr>
        <w:fldChar w:fldCharType="separate"/>
      </w:r>
      <w:r>
        <w:rPr>
          <w:rFonts w:ascii="宋体" w:hAnsi="宋体"/>
        </w:rPr>
        <w:t>21</w:t>
      </w:r>
      <w:r>
        <w:rPr>
          <w:rFonts w:ascii="宋体" w:hAnsi="宋体"/>
        </w:rPr>
        <w:fldChar w:fldCharType="end"/>
      </w:r>
      <w:r>
        <w:rPr>
          <w:rFonts w:ascii="宋体" w:hAnsi="宋体"/>
        </w:rPr>
        <w:fldChar w:fldCharType="end"/>
      </w:r>
    </w:p>
    <w:p w14:paraId="3C433C28">
      <w:pPr>
        <w:pStyle w:val="30"/>
        <w:tabs>
          <w:tab w:val="right" w:leader="dot" w:pos="9628"/>
        </w:tabs>
        <w:adjustRightInd w:val="0"/>
        <w:snapToGrid w:val="0"/>
        <w:spacing w:line="480" w:lineRule="auto"/>
        <w:rPr>
          <w:rFonts w:ascii="宋体" w:hAnsi="宋体"/>
          <w:szCs w:val="22"/>
        </w:rPr>
      </w:pPr>
      <w:r>
        <w:fldChar w:fldCharType="begin"/>
      </w:r>
      <w:r>
        <w:instrText xml:space="preserve"> HYPERLINK \l "_Toc57041955" </w:instrText>
      </w:r>
      <w:r>
        <w:fldChar w:fldCharType="separate"/>
      </w:r>
      <w:r>
        <w:rPr>
          <w:rStyle w:val="54"/>
          <w:rFonts w:hint="eastAsia" w:ascii="宋体" w:hAnsi="宋体"/>
          <w:color w:val="auto"/>
        </w:rPr>
        <w:t>第四章</w:t>
      </w:r>
      <w:r>
        <w:rPr>
          <w:rStyle w:val="54"/>
          <w:rFonts w:ascii="宋体" w:hAnsi="宋体"/>
          <w:color w:val="auto"/>
        </w:rPr>
        <w:t xml:space="preserve"> </w:t>
      </w:r>
      <w:r>
        <w:rPr>
          <w:rStyle w:val="54"/>
          <w:rFonts w:hint="eastAsia" w:ascii="宋体" w:hAnsi="宋体"/>
          <w:color w:val="auto"/>
        </w:rPr>
        <w:t>合同条款及格式</w:t>
      </w:r>
      <w:r>
        <w:rPr>
          <w:rFonts w:ascii="宋体" w:hAnsi="宋体"/>
        </w:rPr>
        <w:tab/>
      </w:r>
      <w:r>
        <w:rPr>
          <w:rFonts w:ascii="宋体" w:hAnsi="宋体"/>
        </w:rPr>
        <w:fldChar w:fldCharType="begin"/>
      </w:r>
      <w:r>
        <w:rPr>
          <w:rFonts w:ascii="宋体" w:hAnsi="宋体"/>
        </w:rPr>
        <w:instrText xml:space="preserve"> PAGEREF _Toc57041955 \h </w:instrText>
      </w:r>
      <w:r>
        <w:rPr>
          <w:rFonts w:ascii="宋体" w:hAnsi="宋体"/>
        </w:rPr>
        <w:fldChar w:fldCharType="separate"/>
      </w:r>
      <w:r>
        <w:rPr>
          <w:rFonts w:ascii="宋体" w:hAnsi="宋体"/>
        </w:rPr>
        <w:t>2</w:t>
      </w:r>
      <w:r>
        <w:rPr>
          <w:rFonts w:hint="eastAsia" w:ascii="宋体" w:hAnsi="宋体"/>
          <w:lang w:val="en-US" w:eastAsia="zh-CN"/>
        </w:rPr>
        <w:t>5</w:t>
      </w:r>
      <w:r>
        <w:rPr>
          <w:rFonts w:ascii="宋体" w:hAnsi="宋体"/>
        </w:rPr>
        <w:fldChar w:fldCharType="end"/>
      </w:r>
      <w:r>
        <w:rPr>
          <w:rFonts w:ascii="宋体" w:hAnsi="宋体"/>
        </w:rPr>
        <w:fldChar w:fldCharType="end"/>
      </w:r>
    </w:p>
    <w:p w14:paraId="7A6790D0">
      <w:pPr>
        <w:pStyle w:val="30"/>
        <w:tabs>
          <w:tab w:val="right" w:leader="dot" w:pos="9628"/>
        </w:tabs>
        <w:adjustRightInd w:val="0"/>
        <w:snapToGrid w:val="0"/>
        <w:spacing w:line="480" w:lineRule="auto"/>
        <w:rPr>
          <w:rFonts w:ascii="宋体" w:hAnsi="宋体"/>
          <w:szCs w:val="22"/>
        </w:rPr>
      </w:pPr>
      <w:r>
        <w:fldChar w:fldCharType="begin"/>
      </w:r>
      <w:r>
        <w:instrText xml:space="preserve"> HYPERLINK \l "_Toc57041956" </w:instrText>
      </w:r>
      <w:r>
        <w:fldChar w:fldCharType="separate"/>
      </w:r>
      <w:r>
        <w:rPr>
          <w:rStyle w:val="54"/>
          <w:rFonts w:hint="eastAsia" w:ascii="宋体" w:hAnsi="宋体"/>
          <w:color w:val="auto"/>
        </w:rPr>
        <w:t>第五章</w:t>
      </w:r>
      <w:r>
        <w:rPr>
          <w:rStyle w:val="54"/>
          <w:rFonts w:ascii="宋体" w:hAnsi="宋体"/>
          <w:color w:val="auto"/>
        </w:rPr>
        <w:t xml:space="preserve"> </w:t>
      </w:r>
      <w:r>
        <w:rPr>
          <w:rStyle w:val="54"/>
          <w:rFonts w:hint="eastAsia" w:ascii="宋体" w:hAnsi="宋体"/>
          <w:color w:val="auto"/>
        </w:rPr>
        <w:t>投标文件格式</w:t>
      </w:r>
      <w:r>
        <w:rPr>
          <w:rFonts w:ascii="宋体" w:hAnsi="宋体"/>
        </w:rPr>
        <w:tab/>
      </w:r>
      <w:r>
        <w:rPr>
          <w:rFonts w:ascii="宋体" w:hAnsi="宋体"/>
        </w:rPr>
        <w:fldChar w:fldCharType="begin"/>
      </w:r>
      <w:r>
        <w:rPr>
          <w:rFonts w:ascii="宋体" w:hAnsi="宋体"/>
        </w:rPr>
        <w:instrText xml:space="preserve"> PAGEREF _Toc57041956 \h </w:instrText>
      </w:r>
      <w:r>
        <w:rPr>
          <w:rFonts w:ascii="宋体" w:hAnsi="宋体"/>
        </w:rPr>
        <w:fldChar w:fldCharType="separate"/>
      </w:r>
      <w:r>
        <w:rPr>
          <w:rFonts w:ascii="宋体" w:hAnsi="宋体"/>
        </w:rPr>
        <w:t>3</w:t>
      </w:r>
      <w:r>
        <w:rPr>
          <w:rFonts w:hint="eastAsia" w:ascii="宋体" w:hAnsi="宋体"/>
          <w:lang w:val="en-US" w:eastAsia="zh-CN"/>
        </w:rPr>
        <w:t>2</w:t>
      </w:r>
      <w:r>
        <w:rPr>
          <w:rFonts w:ascii="宋体" w:hAnsi="宋体"/>
        </w:rPr>
        <w:fldChar w:fldCharType="end"/>
      </w:r>
      <w:r>
        <w:rPr>
          <w:rFonts w:ascii="宋体" w:hAnsi="宋体"/>
        </w:rPr>
        <w:fldChar w:fldCharType="end"/>
      </w:r>
    </w:p>
    <w:p w14:paraId="722B63EF">
      <w:pPr>
        <w:pStyle w:val="22"/>
        <w:tabs>
          <w:tab w:val="right" w:leader="dot" w:pos="9628"/>
        </w:tabs>
        <w:rPr>
          <w:rFonts w:ascii="Calibri" w:hAnsi="Calibri"/>
          <w:szCs w:val="22"/>
        </w:rPr>
      </w:pPr>
    </w:p>
    <w:p w14:paraId="05A5C914">
      <w:pPr>
        <w:pStyle w:val="37"/>
        <w:tabs>
          <w:tab w:val="right" w:leader="dot" w:pos="9628"/>
        </w:tabs>
        <w:rPr>
          <w:rFonts w:ascii="Calibri" w:hAnsi="Calibri"/>
          <w:szCs w:val="22"/>
        </w:rPr>
      </w:pPr>
    </w:p>
    <w:p w14:paraId="441FC47B">
      <w:pPr>
        <w:rPr>
          <w:szCs w:val="48"/>
        </w:rPr>
      </w:pPr>
      <w:r>
        <w:rPr>
          <w:szCs w:val="48"/>
        </w:rPr>
        <w:fldChar w:fldCharType="end"/>
      </w:r>
    </w:p>
    <w:p w14:paraId="761D48A6">
      <w:pPr>
        <w:pStyle w:val="61"/>
        <w:rPr>
          <w:szCs w:val="48"/>
        </w:rPr>
      </w:pPr>
    </w:p>
    <w:p w14:paraId="5CD58D70">
      <w:pPr>
        <w:rPr>
          <w:szCs w:val="48"/>
        </w:rPr>
      </w:pPr>
    </w:p>
    <w:p w14:paraId="305BFACC">
      <w:pPr>
        <w:pStyle w:val="61"/>
        <w:rPr>
          <w:szCs w:val="48"/>
        </w:rPr>
      </w:pPr>
    </w:p>
    <w:p w14:paraId="6D0CE429">
      <w:pPr>
        <w:rPr>
          <w:szCs w:val="48"/>
        </w:rPr>
      </w:pPr>
    </w:p>
    <w:p w14:paraId="70F206B7">
      <w:pPr>
        <w:pStyle w:val="61"/>
        <w:rPr>
          <w:szCs w:val="48"/>
        </w:rPr>
      </w:pPr>
    </w:p>
    <w:p w14:paraId="42C73C22">
      <w:pPr>
        <w:rPr>
          <w:szCs w:val="48"/>
        </w:rPr>
      </w:pPr>
    </w:p>
    <w:p w14:paraId="2C8723FB">
      <w:pPr>
        <w:pStyle w:val="61"/>
        <w:rPr>
          <w:szCs w:val="48"/>
        </w:rPr>
      </w:pPr>
    </w:p>
    <w:p w14:paraId="7A584E3D">
      <w:pPr>
        <w:rPr>
          <w:szCs w:val="48"/>
        </w:rPr>
      </w:pPr>
    </w:p>
    <w:p w14:paraId="430AF308">
      <w:pPr>
        <w:pStyle w:val="61"/>
        <w:rPr>
          <w:szCs w:val="48"/>
        </w:rPr>
      </w:pPr>
    </w:p>
    <w:p w14:paraId="7AB22997">
      <w:pPr>
        <w:rPr>
          <w:szCs w:val="48"/>
        </w:rPr>
      </w:pPr>
    </w:p>
    <w:p w14:paraId="3DF28EA1">
      <w:pPr>
        <w:pStyle w:val="61"/>
        <w:rPr>
          <w:szCs w:val="48"/>
        </w:rPr>
      </w:pPr>
    </w:p>
    <w:p w14:paraId="7BEC40B9">
      <w:pPr>
        <w:rPr>
          <w:szCs w:val="48"/>
        </w:rPr>
      </w:pPr>
    </w:p>
    <w:p w14:paraId="3570E0F7">
      <w:pPr>
        <w:pStyle w:val="61"/>
        <w:rPr>
          <w:szCs w:val="48"/>
        </w:rPr>
      </w:pPr>
    </w:p>
    <w:p w14:paraId="4C7D74C1">
      <w:pPr>
        <w:rPr>
          <w:szCs w:val="48"/>
        </w:rPr>
      </w:pPr>
    </w:p>
    <w:p w14:paraId="02F1E0A0">
      <w:pPr>
        <w:pStyle w:val="61"/>
        <w:rPr>
          <w:szCs w:val="48"/>
        </w:rPr>
      </w:pPr>
    </w:p>
    <w:p w14:paraId="4E59569A">
      <w:pPr>
        <w:rPr>
          <w:szCs w:val="48"/>
        </w:rPr>
      </w:pPr>
    </w:p>
    <w:p w14:paraId="0079244F">
      <w:pPr>
        <w:pStyle w:val="61"/>
        <w:rPr>
          <w:szCs w:val="48"/>
        </w:rPr>
      </w:pPr>
    </w:p>
    <w:p w14:paraId="3A1133CC">
      <w:pPr>
        <w:rPr>
          <w:szCs w:val="48"/>
        </w:rPr>
      </w:pPr>
    </w:p>
    <w:p w14:paraId="3D57F8EA">
      <w:pPr>
        <w:pStyle w:val="61"/>
        <w:rPr>
          <w:szCs w:val="48"/>
        </w:rPr>
      </w:pPr>
    </w:p>
    <w:p w14:paraId="6140363D">
      <w:pPr>
        <w:rPr>
          <w:szCs w:val="48"/>
        </w:rPr>
      </w:pPr>
    </w:p>
    <w:p w14:paraId="5CC95E50">
      <w:pPr>
        <w:pStyle w:val="61"/>
        <w:rPr>
          <w:szCs w:val="48"/>
        </w:rPr>
      </w:pPr>
    </w:p>
    <w:p w14:paraId="565C8231"/>
    <w:p w14:paraId="11C16FB7"/>
    <w:p w14:paraId="57BAAC77">
      <w:pPr>
        <w:pStyle w:val="3"/>
        <w:sectPr>
          <w:pgSz w:w="11906" w:h="16838"/>
          <w:pgMar w:top="1134" w:right="1134" w:bottom="1134" w:left="1134" w:header="851" w:footer="992" w:gutter="0"/>
          <w:cols w:space="720" w:num="1"/>
          <w:docGrid w:type="lines" w:linePitch="312" w:charSpace="0"/>
        </w:sectPr>
      </w:pPr>
    </w:p>
    <w:p w14:paraId="7C9F84C7">
      <w:pPr>
        <w:pStyle w:val="3"/>
      </w:pPr>
      <w:r>
        <w:t xml:space="preserve"> </w:t>
      </w:r>
      <w:bookmarkStart w:id="4" w:name="_Toc387526362"/>
      <w:bookmarkStart w:id="5" w:name="_Toc5291"/>
      <w:bookmarkStart w:id="6" w:name="_Toc57041882"/>
      <w:r>
        <w:rPr>
          <w:rFonts w:hint="eastAsia"/>
        </w:rPr>
        <w:t xml:space="preserve">第一章  </w:t>
      </w:r>
      <w:bookmarkEnd w:id="0"/>
      <w:bookmarkEnd w:id="1"/>
      <w:bookmarkEnd w:id="2"/>
      <w:bookmarkEnd w:id="3"/>
      <w:bookmarkEnd w:id="4"/>
      <w:bookmarkEnd w:id="5"/>
      <w:r>
        <w:rPr>
          <w:rFonts w:hint="eastAsia"/>
        </w:rPr>
        <w:t>招标公告</w:t>
      </w:r>
      <w:bookmarkEnd w:id="6"/>
    </w:p>
    <w:p w14:paraId="618FA982">
      <w:pPr>
        <w:keepNext/>
        <w:keepLines/>
        <w:spacing w:line="360" w:lineRule="auto"/>
        <w:jc w:val="center"/>
        <w:outlineLvl w:val="1"/>
        <w:rPr>
          <w:rFonts w:hint="eastAsia" w:ascii="宋体" w:hAnsi="宋体"/>
          <w:sz w:val="28"/>
          <w:szCs w:val="28"/>
        </w:rPr>
      </w:pPr>
      <w:bookmarkStart w:id="7" w:name="_Toc144974480"/>
      <w:bookmarkStart w:id="8" w:name="_Toc387526167"/>
      <w:bookmarkStart w:id="9" w:name="_Toc247527535"/>
      <w:bookmarkStart w:id="10" w:name="_Toc300834929"/>
      <w:bookmarkStart w:id="11" w:name="_Toc387526363"/>
      <w:bookmarkStart w:id="12" w:name="_Toc57041883"/>
      <w:bookmarkStart w:id="13" w:name="_Toc387526271"/>
      <w:bookmarkStart w:id="14" w:name="_Toc27012"/>
      <w:bookmarkStart w:id="15" w:name="_Toc247513934"/>
      <w:bookmarkStart w:id="16" w:name="_Toc152045512"/>
      <w:bookmarkStart w:id="17" w:name="_Toc152042288"/>
      <w:bookmarkStart w:id="18" w:name="_Toc369077550"/>
      <w:bookmarkStart w:id="19" w:name="_Toc368759511"/>
      <w:bookmarkStart w:id="20" w:name="_Toc6770"/>
      <w:bookmarkStart w:id="21" w:name="_Toc387526177"/>
      <w:bookmarkStart w:id="22" w:name="_Toc57041889"/>
      <w:bookmarkStart w:id="23" w:name="_Toc184635069"/>
      <w:bookmarkStart w:id="24" w:name="_Toc369077558"/>
      <w:bookmarkStart w:id="25" w:name="_Toc387526281"/>
      <w:bookmarkStart w:id="26" w:name="_Toc387526373"/>
      <w:bookmarkStart w:id="27" w:name="_Toc363326679"/>
      <w:bookmarkStart w:id="28" w:name="_Toc368759512"/>
      <w:r>
        <w:rPr>
          <w:rFonts w:hint="eastAsia" w:ascii="宋体" w:hAnsi="宋体"/>
          <w:sz w:val="28"/>
          <w:szCs w:val="28"/>
          <w:highlight w:val="yellow"/>
          <w:u w:val="single"/>
          <w:lang w:val="en-US" w:eastAsia="zh-CN"/>
        </w:rPr>
        <w:t>XXXXXXXXXX</w:t>
      </w:r>
      <w:r>
        <w:rPr>
          <w:rFonts w:hint="eastAsia" w:ascii="宋体" w:hAnsi="宋体"/>
          <w:sz w:val="28"/>
          <w:szCs w:val="28"/>
        </w:rPr>
        <w:t>计及竣工结算审计（一审）</w:t>
      </w:r>
    </w:p>
    <w:p w14:paraId="6F0D64B4">
      <w:pPr>
        <w:pStyle w:val="16"/>
        <w:jc w:val="center"/>
        <w:rPr>
          <w:rFonts w:hint="eastAsia" w:eastAsia="宋体"/>
          <w:lang w:eastAsia="zh-CN"/>
        </w:rPr>
      </w:pPr>
      <w:r>
        <w:rPr>
          <w:rFonts w:hint="eastAsia" w:ascii="宋体" w:hAnsi="宋体"/>
          <w:sz w:val="28"/>
          <w:szCs w:val="28"/>
          <w:lang w:eastAsia="zh-CN"/>
        </w:rPr>
        <w:t>（</w:t>
      </w:r>
      <w:r>
        <w:rPr>
          <w:rFonts w:hint="eastAsia" w:ascii="宋体" w:hAnsi="宋体"/>
          <w:sz w:val="28"/>
          <w:szCs w:val="28"/>
          <w:lang w:val="en-US" w:eastAsia="zh-CN"/>
        </w:rPr>
        <w:t>不见面开标</w:t>
      </w:r>
      <w:r>
        <w:rPr>
          <w:rFonts w:hint="eastAsia" w:ascii="宋体" w:hAnsi="宋体"/>
          <w:sz w:val="28"/>
          <w:szCs w:val="28"/>
          <w:lang w:eastAsia="zh-CN"/>
        </w:rPr>
        <w:t>）</w:t>
      </w:r>
    </w:p>
    <w:p w14:paraId="6EB50612">
      <w:pPr>
        <w:keepNext/>
        <w:keepLines/>
        <w:spacing w:line="360" w:lineRule="auto"/>
        <w:outlineLvl w:val="1"/>
        <w:rPr>
          <w:rFonts w:ascii="Arial" w:hAnsi="Arial" w:cs="宋体"/>
          <w:b/>
          <w:bCs/>
          <w:szCs w:val="21"/>
        </w:rPr>
      </w:pPr>
      <w:r>
        <w:rPr>
          <w:rFonts w:ascii="Arial" w:hAnsi="Arial" w:cs="宋体"/>
          <w:b/>
          <w:bCs/>
          <w:szCs w:val="21"/>
        </w:rPr>
        <w:t xml:space="preserve">1. </w:t>
      </w:r>
      <w:r>
        <w:rPr>
          <w:rFonts w:hint="eastAsia" w:ascii="Arial" w:hAnsi="Arial" w:cs="宋体"/>
          <w:b/>
          <w:bCs/>
          <w:szCs w:val="21"/>
        </w:rPr>
        <w:t>招标</w:t>
      </w:r>
      <w:r>
        <w:rPr>
          <w:rFonts w:ascii="Arial" w:hAnsi="Arial" w:cs="宋体"/>
          <w:b/>
          <w:bCs/>
          <w:szCs w:val="21"/>
        </w:rPr>
        <w:t>条件</w:t>
      </w:r>
      <w:bookmarkEnd w:id="7"/>
      <w:bookmarkEnd w:id="8"/>
      <w:bookmarkEnd w:id="9"/>
      <w:bookmarkEnd w:id="10"/>
      <w:bookmarkEnd w:id="11"/>
      <w:bookmarkEnd w:id="12"/>
      <w:bookmarkEnd w:id="13"/>
      <w:bookmarkEnd w:id="14"/>
      <w:bookmarkEnd w:id="15"/>
      <w:bookmarkEnd w:id="16"/>
      <w:bookmarkEnd w:id="17"/>
    </w:p>
    <w:p w14:paraId="0B23FF80">
      <w:pPr>
        <w:pStyle w:val="112"/>
        <w:pageBreakBefore w:val="0"/>
        <w:kinsoku/>
        <w:wordWrap/>
        <w:overflowPunct/>
        <w:topLinePunct w:val="0"/>
        <w:autoSpaceDE/>
        <w:autoSpaceDN/>
        <w:bidi w:val="0"/>
        <w:spacing w:line="390" w:lineRule="exact"/>
        <w:ind w:left="359" w:leftChars="171" w:firstLine="420" w:firstLineChars="200"/>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本招标项目</w:t>
      </w:r>
      <w:r>
        <w:rPr>
          <w:rFonts w:hint="eastAsia"/>
          <w:color w:val="auto"/>
          <w:sz w:val="21"/>
          <w:szCs w:val="21"/>
          <w:highlight w:val="yellow"/>
          <w:u w:val="single"/>
          <w:lang w:val="en-US" w:eastAsia="zh-CN"/>
        </w:rPr>
        <w:t>XXXXXXXXXXX</w:t>
      </w:r>
      <w:r>
        <w:rPr>
          <w:rFonts w:hint="eastAsia"/>
          <w:color w:val="auto"/>
          <w:sz w:val="21"/>
          <w:szCs w:val="21"/>
          <w:highlight w:val="none"/>
          <w:u w:val="single"/>
          <w:lang w:eastAsia="zh-CN"/>
        </w:rPr>
        <w:t>项目</w:t>
      </w:r>
      <w:r>
        <w:rPr>
          <w:rFonts w:hint="eastAsia" w:ascii="宋体" w:hAnsi="宋体" w:eastAsia="宋体" w:cs="宋体"/>
          <w:b w:val="0"/>
          <w:bCs w:val="0"/>
          <w:color w:val="auto"/>
          <w:sz w:val="21"/>
          <w:szCs w:val="21"/>
          <w:highlight w:val="none"/>
        </w:rPr>
        <w:t>，项目业主为</w:t>
      </w:r>
      <w:r>
        <w:rPr>
          <w:rFonts w:hint="eastAsia" w:ascii="宋体" w:hAnsi="宋体" w:eastAsia="宋体" w:cs="宋体"/>
          <w:bCs w:val="0"/>
          <w:color w:val="auto"/>
          <w:sz w:val="21"/>
          <w:szCs w:val="21"/>
          <w:highlight w:val="yellow"/>
          <w:u w:val="single"/>
          <w:lang w:val="en-US" w:eastAsia="zh-CN"/>
        </w:rPr>
        <w:t>XXXXXXXXXXX</w:t>
      </w:r>
      <w:r>
        <w:rPr>
          <w:rFonts w:hint="eastAsia" w:ascii="宋体" w:hAnsi="宋体" w:eastAsia="宋体" w:cs="宋体"/>
          <w:bCs w:val="0"/>
          <w:color w:val="auto"/>
          <w:sz w:val="21"/>
          <w:szCs w:val="21"/>
          <w:highlight w:val="none"/>
          <w:u w:val="single"/>
          <w:lang w:val="en-US" w:eastAsia="zh-CN"/>
        </w:rPr>
        <w:t>有限公司</w:t>
      </w:r>
      <w:r>
        <w:rPr>
          <w:rFonts w:hint="eastAsia" w:ascii="宋体" w:hAnsi="宋体" w:eastAsia="宋体" w:cs="宋体"/>
          <w:b w:val="0"/>
          <w:bCs w:val="0"/>
          <w:color w:val="auto"/>
          <w:sz w:val="21"/>
          <w:szCs w:val="21"/>
          <w:highlight w:val="none"/>
        </w:rPr>
        <w:t>，建设资金来自</w:t>
      </w:r>
      <w:r>
        <w:rPr>
          <w:rFonts w:hint="eastAsia" w:ascii="宋体" w:hAnsi="宋体" w:eastAsia="宋体" w:cs="宋体"/>
          <w:bCs w:val="0"/>
          <w:color w:val="auto"/>
          <w:sz w:val="21"/>
          <w:szCs w:val="21"/>
          <w:highlight w:val="none"/>
          <w:u w:val="single"/>
        </w:rPr>
        <w:t>自筹</w:t>
      </w:r>
      <w:r>
        <w:rPr>
          <w:rFonts w:hint="eastAsia" w:ascii="宋体" w:hAnsi="宋体" w:eastAsia="宋体" w:cs="宋体"/>
          <w:b/>
          <w:bCs/>
          <w:color w:val="auto"/>
          <w:sz w:val="21"/>
          <w:szCs w:val="21"/>
          <w:highlight w:val="none"/>
          <w:u w:val="single"/>
          <w:lang w:val="en-US" w:eastAsia="zh-CN"/>
        </w:rPr>
        <w:t>，已落实</w:t>
      </w:r>
      <w:r>
        <w:rPr>
          <w:rFonts w:hint="eastAsia" w:ascii="宋体" w:hAnsi="宋体" w:eastAsia="宋体" w:cs="宋体"/>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，项目出资比例为</w:t>
      </w:r>
      <w:r>
        <w:rPr>
          <w:rFonts w:hint="eastAsia" w:ascii="宋体" w:hAnsi="宋体" w:eastAsia="宋体" w:cs="宋体"/>
          <w:bCs w:val="0"/>
          <w:color w:val="auto"/>
          <w:sz w:val="21"/>
          <w:szCs w:val="21"/>
          <w:highlight w:val="none"/>
          <w:u w:val="single"/>
        </w:rPr>
        <w:t xml:space="preserve">100% </w:t>
      </w:r>
      <w:r>
        <w:rPr>
          <w:rFonts w:hint="eastAsia" w:ascii="宋体" w:hAnsi="宋体" w:eastAsia="宋体" w:cs="宋体"/>
          <w:b w:val="0"/>
          <w:bCs w:val="0"/>
          <w:color w:val="auto"/>
          <w:sz w:val="21"/>
          <w:szCs w:val="21"/>
          <w:highlight w:val="none"/>
        </w:rPr>
        <w:t>。项目已具备招标条件，现对该项目</w:t>
      </w:r>
      <w:r>
        <w:rPr>
          <w:rFonts w:hint="eastAsia" w:ascii="宋体" w:hAnsi="宋体" w:eastAsia="宋体" w:cs="宋体"/>
          <w:color w:val="000000"/>
          <w:sz w:val="21"/>
          <w:szCs w:val="21"/>
          <w:highlight w:val="none"/>
          <w:u w:val="single"/>
          <w:lang w:val="en-US" w:eastAsia="zh-CN"/>
        </w:rPr>
        <w:t>施工</w:t>
      </w:r>
      <w:r>
        <w:rPr>
          <w:rFonts w:hint="eastAsia" w:ascii="宋体" w:hAnsi="宋体" w:eastAsia="宋体" w:cs="宋体"/>
          <w:b w:val="0"/>
          <w:bCs w:val="0"/>
          <w:color w:val="auto"/>
          <w:sz w:val="21"/>
          <w:szCs w:val="21"/>
          <w:highlight w:val="none"/>
        </w:rPr>
        <w:t>（标段）进行公开招标，特邀请有兴趣的潜在投标人参加投标。</w:t>
      </w:r>
    </w:p>
    <w:p w14:paraId="4DED20CF">
      <w:pPr>
        <w:keepNext/>
        <w:keepLines/>
        <w:spacing w:line="360" w:lineRule="auto"/>
        <w:outlineLvl w:val="1"/>
        <w:rPr>
          <w:rFonts w:ascii="Arial" w:hAnsi="Arial" w:cs="宋体"/>
          <w:b/>
          <w:bCs/>
          <w:szCs w:val="21"/>
        </w:rPr>
      </w:pPr>
      <w:bookmarkStart w:id="29" w:name="_Toc387526364"/>
      <w:bookmarkStart w:id="30" w:name="_Toc12939"/>
      <w:bookmarkStart w:id="31" w:name="_Toc387526272"/>
      <w:bookmarkStart w:id="32" w:name="_Toc57041884"/>
      <w:bookmarkStart w:id="33" w:name="_Toc387526168"/>
      <w:r>
        <w:rPr>
          <w:rFonts w:hint="eastAsia" w:ascii="Arial" w:hAnsi="Arial" w:cs="宋体"/>
          <w:b/>
          <w:bCs/>
          <w:szCs w:val="21"/>
        </w:rPr>
        <w:t>2. 项目概况与招标范围</w:t>
      </w:r>
      <w:bookmarkEnd w:id="29"/>
      <w:bookmarkEnd w:id="30"/>
      <w:bookmarkEnd w:id="31"/>
      <w:bookmarkEnd w:id="32"/>
      <w:bookmarkEnd w:id="33"/>
    </w:p>
    <w:p w14:paraId="1D108CC1">
      <w:pPr>
        <w:widowControl/>
        <w:spacing w:line="360" w:lineRule="auto"/>
        <w:ind w:firstLine="420" w:firstLineChars="200"/>
        <w:jc w:val="left"/>
        <w:textAlignment w:val="baseline"/>
        <w:rPr>
          <w:b/>
          <w:kern w:val="0"/>
          <w:szCs w:val="21"/>
        </w:rPr>
      </w:pPr>
      <w:r>
        <w:rPr>
          <w:kern w:val="0"/>
          <w:szCs w:val="21"/>
        </w:rPr>
        <w:t>2.</w:t>
      </w:r>
      <w:r>
        <w:rPr>
          <w:rFonts w:hint="eastAsia"/>
          <w:kern w:val="0"/>
          <w:szCs w:val="21"/>
        </w:rPr>
        <w:t>1项目地点：</w:t>
      </w:r>
      <w:r>
        <w:rPr>
          <w:rFonts w:hint="eastAsia" w:ascii="宋体" w:hAnsi="宋体" w:cs="宋体"/>
          <w:b/>
          <w:bCs/>
          <w:szCs w:val="21"/>
          <w:u w:val="single"/>
        </w:rPr>
        <w:t>连云港市赣榆区</w:t>
      </w:r>
      <w:r>
        <w:rPr>
          <w:rFonts w:hint="eastAsia"/>
          <w:b/>
          <w:kern w:val="0"/>
          <w:szCs w:val="21"/>
          <w:u w:val="single"/>
        </w:rPr>
        <w:t>。</w:t>
      </w:r>
    </w:p>
    <w:p w14:paraId="1EF47CA4">
      <w:pPr>
        <w:widowControl/>
        <w:spacing w:line="360" w:lineRule="auto"/>
        <w:ind w:firstLine="420" w:firstLineChars="200"/>
        <w:jc w:val="left"/>
        <w:textAlignment w:val="baseline"/>
        <w:rPr>
          <w:kern w:val="0"/>
          <w:szCs w:val="21"/>
        </w:rPr>
      </w:pPr>
      <w:r>
        <w:rPr>
          <w:rFonts w:hint="eastAsia"/>
          <w:kern w:val="0"/>
          <w:szCs w:val="21"/>
        </w:rPr>
        <w:t>2.2工程规模：</w:t>
      </w:r>
      <w:r>
        <w:rPr>
          <w:rFonts w:hint="eastAsia" w:ascii="宋体" w:hAnsi="宋体" w:cs="宋体"/>
          <w:b/>
          <w:bCs/>
          <w:szCs w:val="21"/>
          <w:highlight w:val="yellow"/>
          <w:u w:val="single"/>
          <w:lang w:val="en-US" w:eastAsia="zh-CN"/>
        </w:rPr>
        <w:t>XXXXXXXXXXXXXXXXXXXXX</w:t>
      </w:r>
      <w:r>
        <w:rPr>
          <w:rFonts w:hint="eastAsia"/>
          <w:b/>
          <w:kern w:val="0"/>
          <w:szCs w:val="21"/>
          <w:u w:val="single"/>
        </w:rPr>
        <w:t>。</w:t>
      </w:r>
    </w:p>
    <w:p w14:paraId="245E5FB8">
      <w:pPr>
        <w:spacing w:line="360" w:lineRule="auto"/>
        <w:ind w:firstLine="437"/>
        <w:rPr>
          <w:kern w:val="0"/>
          <w:szCs w:val="21"/>
          <w:u w:val="single"/>
        </w:rPr>
      </w:pPr>
      <w:r>
        <w:rPr>
          <w:rFonts w:hint="eastAsia"/>
          <w:szCs w:val="21"/>
        </w:rPr>
        <w:t>2.</w:t>
      </w:r>
      <w:r>
        <w:rPr>
          <w:szCs w:val="21"/>
        </w:rPr>
        <w:t>3</w:t>
      </w:r>
      <w:r>
        <w:rPr>
          <w:rFonts w:hint="eastAsia"/>
          <w:szCs w:val="21"/>
        </w:rPr>
        <w:t>招标范围：</w:t>
      </w:r>
      <w:r>
        <w:rPr>
          <w:rFonts w:hint="eastAsia"/>
          <w:b/>
          <w:kern w:val="0"/>
          <w:szCs w:val="21"/>
          <w:highlight w:val="yellow"/>
          <w:u w:val="single"/>
        </w:rPr>
        <w:t>跟踪审计及竣工结算审核（一审）服务</w:t>
      </w:r>
      <w:r>
        <w:rPr>
          <w:rFonts w:hint="eastAsia"/>
          <w:b/>
          <w:kern w:val="0"/>
          <w:szCs w:val="21"/>
          <w:u w:val="single"/>
        </w:rPr>
        <w:t>。</w:t>
      </w:r>
    </w:p>
    <w:p w14:paraId="538ADBE7">
      <w:pPr>
        <w:spacing w:line="360" w:lineRule="auto"/>
        <w:ind w:firstLine="437"/>
        <w:rPr>
          <w:color w:val="auto"/>
          <w:kern w:val="0"/>
          <w:szCs w:val="21"/>
        </w:rPr>
      </w:pPr>
      <w:r>
        <w:rPr>
          <w:rFonts w:hint="eastAsia"/>
          <w:kern w:val="0"/>
          <w:szCs w:val="21"/>
        </w:rPr>
        <w:t>2.</w:t>
      </w:r>
      <w:r>
        <w:rPr>
          <w:kern w:val="0"/>
          <w:szCs w:val="21"/>
        </w:rPr>
        <w:t>4</w:t>
      </w:r>
      <w:r>
        <w:rPr>
          <w:rFonts w:hint="eastAsia" w:ascii="宋体" w:hAnsi="宋体" w:cs="宋体"/>
          <w:szCs w:val="21"/>
        </w:rPr>
        <w:t>本项目的总费用最高投标限价为：</w:t>
      </w:r>
      <w:r>
        <w:rPr>
          <w:rFonts w:hint="eastAsia" w:ascii="宋体" w:hAnsi="宋体" w:cs="宋体"/>
          <w:b/>
          <w:color w:val="auto"/>
          <w:szCs w:val="21"/>
          <w:u w:val="single"/>
        </w:rPr>
        <w:t>工</w:t>
      </w:r>
      <w:r>
        <w:rPr>
          <w:rFonts w:hint="eastAsia" w:ascii="宋体" w:hAnsi="宋体" w:cs="宋体"/>
          <w:b/>
          <w:color w:val="auto"/>
          <w:szCs w:val="21"/>
          <w:highlight w:val="yellow"/>
          <w:u w:val="single"/>
        </w:rPr>
        <w:t>程建安资暂按1200万元计取，本项目要求按费率报价，全过程跟踪审计及竣工结算审核（一审）:收费不得高于《江苏省工程造价咨询服务收费指导意见》苏建价协(2022)7号收费标准的40%，本项目仅计取跟踪审计阶段全过程造价控制的基本费和驻场费，竣工结算审核阶段工程结算审核的效益费，超过控制价的投标单位将被拒绝</w:t>
      </w:r>
      <w:r>
        <w:rPr>
          <w:rFonts w:hint="eastAsia" w:ascii="宋体" w:hAnsi="宋体" w:cs="宋体"/>
          <w:b/>
          <w:color w:val="auto"/>
          <w:szCs w:val="21"/>
          <w:u w:val="single"/>
        </w:rPr>
        <w:t>。</w:t>
      </w:r>
    </w:p>
    <w:p w14:paraId="11230064">
      <w:pPr>
        <w:widowControl/>
        <w:spacing w:line="360" w:lineRule="auto"/>
        <w:ind w:firstLine="420" w:firstLineChars="200"/>
        <w:jc w:val="left"/>
        <w:textAlignment w:val="baseline"/>
        <w:rPr>
          <w:kern w:val="0"/>
          <w:szCs w:val="21"/>
          <w:u w:val="single"/>
        </w:rPr>
      </w:pPr>
      <w:r>
        <w:rPr>
          <w:color w:val="auto"/>
          <w:kern w:val="0"/>
          <w:szCs w:val="21"/>
        </w:rPr>
        <w:t>2.5</w:t>
      </w:r>
      <w:r>
        <w:rPr>
          <w:rFonts w:hint="eastAsia"/>
          <w:color w:val="auto"/>
          <w:kern w:val="0"/>
          <w:szCs w:val="21"/>
        </w:rPr>
        <w:t>服务周期</w:t>
      </w:r>
      <w:r>
        <w:rPr>
          <w:color w:val="auto"/>
          <w:kern w:val="0"/>
          <w:szCs w:val="21"/>
        </w:rPr>
        <w:t>：</w:t>
      </w:r>
      <w:r>
        <w:rPr>
          <w:rFonts w:hint="eastAsia"/>
          <w:b/>
          <w:color w:val="auto"/>
          <w:kern w:val="0"/>
          <w:szCs w:val="21"/>
          <w:u w:val="single"/>
        </w:rPr>
        <w:t>与施工工期同步，从项目进场施工开始直至竣工验收全过程</w:t>
      </w:r>
      <w:r>
        <w:rPr>
          <w:rFonts w:hint="eastAsia"/>
          <w:b/>
          <w:kern w:val="0"/>
          <w:szCs w:val="21"/>
          <w:u w:val="single"/>
        </w:rPr>
        <w:t>跟踪审计、工程竣工结算审核，随工程建设进度完成项目审计并出具完整审计报告，移交全部审计资料至招标人为止。</w:t>
      </w:r>
    </w:p>
    <w:p w14:paraId="06D2BD25">
      <w:pPr>
        <w:widowControl/>
        <w:spacing w:line="360" w:lineRule="auto"/>
        <w:ind w:firstLine="420" w:firstLineChars="200"/>
        <w:jc w:val="left"/>
        <w:textAlignment w:val="baseline"/>
        <w:rPr>
          <w:kern w:val="0"/>
          <w:szCs w:val="21"/>
          <w:u w:val="single"/>
        </w:rPr>
      </w:pPr>
      <w:r>
        <w:rPr>
          <w:kern w:val="0"/>
          <w:szCs w:val="21"/>
        </w:rPr>
        <w:t>2.6标段划分：</w:t>
      </w:r>
      <w:r>
        <w:rPr>
          <w:kern w:val="0"/>
          <w:szCs w:val="21"/>
          <w:u w:val="single"/>
        </w:rPr>
        <w:t xml:space="preserve">  </w:t>
      </w:r>
      <w:r>
        <w:rPr>
          <w:rFonts w:hint="eastAsia"/>
          <w:kern w:val="0"/>
          <w:szCs w:val="21"/>
          <w:u w:val="single"/>
        </w:rPr>
        <w:t xml:space="preserve">1个标段  </w:t>
      </w:r>
    </w:p>
    <w:p w14:paraId="5DAEEC7C">
      <w:pPr>
        <w:widowControl/>
        <w:spacing w:line="360" w:lineRule="auto"/>
        <w:ind w:firstLine="420" w:firstLineChars="200"/>
        <w:jc w:val="left"/>
        <w:textAlignment w:val="baseline"/>
        <w:rPr>
          <w:kern w:val="0"/>
          <w:szCs w:val="21"/>
          <w:u w:val="single"/>
        </w:rPr>
      </w:pPr>
      <w:r>
        <w:rPr>
          <w:rFonts w:hint="eastAsia"/>
          <w:kern w:val="0"/>
          <w:szCs w:val="21"/>
        </w:rPr>
        <w:t>2.</w:t>
      </w:r>
      <w:r>
        <w:rPr>
          <w:kern w:val="0"/>
          <w:szCs w:val="21"/>
        </w:rPr>
        <w:t>7</w:t>
      </w:r>
      <w:r>
        <w:rPr>
          <w:rFonts w:hint="eastAsia"/>
          <w:kern w:val="0"/>
          <w:szCs w:val="21"/>
        </w:rPr>
        <w:t>质量要求：</w:t>
      </w:r>
      <w:r>
        <w:rPr>
          <w:rFonts w:hint="eastAsia"/>
          <w:kern w:val="0"/>
          <w:szCs w:val="21"/>
          <w:u w:val="single"/>
        </w:rPr>
        <w:t xml:space="preserve"> </w:t>
      </w:r>
      <w:r>
        <w:rPr>
          <w:rFonts w:hint="eastAsia"/>
          <w:b/>
          <w:kern w:val="0"/>
          <w:szCs w:val="21"/>
          <w:u w:val="single"/>
        </w:rPr>
        <w:t>合格</w:t>
      </w:r>
      <w:r>
        <w:rPr>
          <w:rFonts w:hint="eastAsia"/>
          <w:kern w:val="0"/>
          <w:szCs w:val="21"/>
          <w:u w:val="single"/>
        </w:rPr>
        <w:t xml:space="preserve"> </w:t>
      </w:r>
    </w:p>
    <w:p w14:paraId="1AB34C28">
      <w:pPr>
        <w:keepNext/>
        <w:keepLines/>
        <w:spacing w:line="360" w:lineRule="auto"/>
        <w:outlineLvl w:val="1"/>
        <w:rPr>
          <w:rFonts w:ascii="Arial" w:hAnsi="Arial" w:cs="宋体"/>
          <w:b/>
          <w:bCs/>
          <w:szCs w:val="21"/>
        </w:rPr>
      </w:pPr>
      <w:bookmarkStart w:id="34" w:name="_Toc387526273"/>
      <w:bookmarkStart w:id="35" w:name="_Toc20597"/>
      <w:bookmarkStart w:id="36" w:name="_Toc387526169"/>
      <w:bookmarkStart w:id="37" w:name="_Toc57041885"/>
      <w:bookmarkStart w:id="38" w:name="_Toc387526365"/>
      <w:r>
        <w:rPr>
          <w:rFonts w:hint="eastAsia" w:ascii="Arial" w:hAnsi="Arial" w:cs="宋体"/>
          <w:b/>
          <w:bCs/>
          <w:szCs w:val="21"/>
        </w:rPr>
        <w:t>3. 投标人资格要求</w:t>
      </w:r>
      <w:bookmarkEnd w:id="34"/>
      <w:bookmarkEnd w:id="35"/>
      <w:bookmarkEnd w:id="36"/>
      <w:bookmarkEnd w:id="37"/>
      <w:bookmarkEnd w:id="38"/>
    </w:p>
    <w:p w14:paraId="6B7D5EB7">
      <w:pPr>
        <w:spacing w:line="360" w:lineRule="auto"/>
        <w:ind w:firstLine="437"/>
        <w:rPr>
          <w:szCs w:val="21"/>
        </w:rPr>
      </w:pPr>
      <w:r>
        <w:rPr>
          <w:rFonts w:hint="eastAsia"/>
          <w:szCs w:val="21"/>
        </w:rPr>
        <w:t>3.1 具有独立订立合同的能力； 具备有效的营业执照；</w:t>
      </w:r>
    </w:p>
    <w:p w14:paraId="43A7778F">
      <w:pPr>
        <w:spacing w:line="360" w:lineRule="auto"/>
        <w:ind w:firstLine="437"/>
        <w:rPr>
          <w:szCs w:val="21"/>
        </w:rPr>
      </w:pPr>
      <w:r>
        <w:rPr>
          <w:rFonts w:hint="eastAsia"/>
          <w:szCs w:val="21"/>
        </w:rPr>
        <w:t>3.2 未处于被责令停业、投标资格被取消或者财产被接管、冻结和破产状态；</w:t>
      </w:r>
    </w:p>
    <w:p w14:paraId="0AA28424">
      <w:pPr>
        <w:spacing w:line="360" w:lineRule="auto"/>
        <w:ind w:firstLine="437"/>
        <w:rPr>
          <w:szCs w:val="21"/>
        </w:rPr>
      </w:pPr>
      <w:r>
        <w:rPr>
          <w:rFonts w:hint="eastAsia"/>
          <w:szCs w:val="21"/>
        </w:rPr>
        <w:t>3.3 企业没有因骗取中标或者严重违约以及发生重大工程质量、安全生产事故等违法违规问题，被有关部门暂停投标资格并在暂停期内的；</w:t>
      </w:r>
    </w:p>
    <w:p w14:paraId="17B40EBB">
      <w:pPr>
        <w:spacing w:line="360" w:lineRule="auto"/>
        <w:ind w:firstLine="420" w:firstLineChars="200"/>
        <w:jc w:val="left"/>
        <w:rPr>
          <w:b/>
          <w:szCs w:val="21"/>
          <w:u w:val="single"/>
        </w:rPr>
      </w:pPr>
      <w:r>
        <w:rPr>
          <w:rFonts w:hint="eastAsia"/>
          <w:szCs w:val="21"/>
        </w:rPr>
        <w:t>3.4项目负责人的资格要求：</w:t>
      </w:r>
      <w:r>
        <w:rPr>
          <w:rFonts w:hint="eastAsia"/>
          <w:szCs w:val="21"/>
          <w:highlight w:val="yellow"/>
          <w:u w:val="single"/>
        </w:rPr>
        <w:t>项目负责人须具备</w:t>
      </w:r>
      <w:r>
        <w:rPr>
          <w:rFonts w:hint="eastAsia"/>
          <w:szCs w:val="21"/>
          <w:highlight w:val="red"/>
          <w:u w:val="single"/>
          <w:lang w:val="en-US" w:eastAsia="zh-CN"/>
        </w:rPr>
        <w:t>相关专业的</w:t>
      </w:r>
      <w:r>
        <w:rPr>
          <w:rFonts w:hint="eastAsia"/>
          <w:szCs w:val="21"/>
          <w:highlight w:val="yellow"/>
          <w:u w:val="single"/>
        </w:rPr>
        <w:t>一级注册造价工程师（在有效期内），且选派的项目负责人必须是本单位的正式员工及未达法定退休年龄的人员（男60 周岁、女 55 周岁，以评标当天日期为准），须提供项目负责人社会保险缴纳明细证明（在本单位缴纳社会保险时间至少应当包括202</w:t>
      </w:r>
      <w:r>
        <w:rPr>
          <w:szCs w:val="21"/>
          <w:highlight w:val="yellow"/>
          <w:u w:val="single"/>
        </w:rPr>
        <w:t>4</w:t>
      </w:r>
      <w:r>
        <w:rPr>
          <w:rFonts w:hint="eastAsia"/>
          <w:szCs w:val="21"/>
          <w:highlight w:val="yellow"/>
          <w:u w:val="single"/>
        </w:rPr>
        <w:t>年</w:t>
      </w:r>
      <w:r>
        <w:rPr>
          <w:szCs w:val="21"/>
          <w:highlight w:val="yellow"/>
          <w:u w:val="single"/>
        </w:rPr>
        <w:t>2</w:t>
      </w:r>
      <w:r>
        <w:rPr>
          <w:rFonts w:hint="eastAsia"/>
          <w:szCs w:val="21"/>
          <w:highlight w:val="yellow"/>
          <w:u w:val="single"/>
        </w:rPr>
        <w:t>月-202</w:t>
      </w:r>
      <w:r>
        <w:rPr>
          <w:szCs w:val="21"/>
          <w:highlight w:val="yellow"/>
          <w:u w:val="single"/>
        </w:rPr>
        <w:t>4</w:t>
      </w:r>
      <w:r>
        <w:rPr>
          <w:rFonts w:hint="eastAsia"/>
          <w:szCs w:val="21"/>
          <w:highlight w:val="yellow"/>
          <w:u w:val="single"/>
        </w:rPr>
        <w:t>年</w:t>
      </w:r>
      <w:r>
        <w:rPr>
          <w:szCs w:val="21"/>
          <w:highlight w:val="yellow"/>
          <w:u w:val="single"/>
        </w:rPr>
        <w:t>7</w:t>
      </w:r>
      <w:r>
        <w:rPr>
          <w:rFonts w:hint="eastAsia"/>
          <w:szCs w:val="21"/>
          <w:highlight w:val="yellow"/>
          <w:u w:val="single"/>
        </w:rPr>
        <w:t>月，社会保险缴纳明细证明必须由社保部门出具并加盖社保机构章或社保机构参保缴费证明电子专用章）</w:t>
      </w:r>
      <w:r>
        <w:rPr>
          <w:rFonts w:hint="eastAsia"/>
          <w:szCs w:val="21"/>
          <w:u w:val="single"/>
        </w:rPr>
        <w:t>；</w:t>
      </w:r>
    </w:p>
    <w:p w14:paraId="71A5D181">
      <w:pPr>
        <w:spacing w:line="360" w:lineRule="auto"/>
        <w:ind w:left="105" w:leftChars="50" w:firstLine="315" w:firstLineChars="150"/>
        <w:jc w:val="left"/>
        <w:rPr>
          <w:szCs w:val="21"/>
        </w:rPr>
      </w:pPr>
      <w:r>
        <w:rPr>
          <w:rFonts w:hint="eastAsia"/>
          <w:szCs w:val="21"/>
        </w:rPr>
        <w:t>3.5有隶属关系（包括控股）或同一法人下属连带关系（包括控股或参股）或相互参股或具有直接管理和被管理关系的母子公司，或法人代表为同一人的两个及以上企业，不得同时参加投标。</w:t>
      </w:r>
    </w:p>
    <w:p w14:paraId="01633D33">
      <w:pPr>
        <w:spacing w:line="360" w:lineRule="auto"/>
        <w:ind w:left="105" w:leftChars="50" w:firstLine="315" w:firstLineChars="150"/>
        <w:jc w:val="left"/>
        <w:rPr>
          <w:szCs w:val="21"/>
        </w:rPr>
      </w:pPr>
      <w:r>
        <w:rPr>
          <w:rFonts w:hint="eastAsia"/>
          <w:szCs w:val="21"/>
        </w:rPr>
        <w:t>3.6投标人应承诺贯穿工程整个招投标活动所提交的所有材料都是真实有效的，一旦发现有虚假行为，招标人立即终止该投标人的投标活动，并上报相关主管部门追究责任。</w:t>
      </w:r>
    </w:p>
    <w:p w14:paraId="572F8067">
      <w:pPr>
        <w:spacing w:line="360" w:lineRule="auto"/>
        <w:ind w:left="105" w:leftChars="50" w:firstLine="315" w:firstLineChars="150"/>
        <w:jc w:val="left"/>
        <w:rPr>
          <w:szCs w:val="21"/>
        </w:rPr>
      </w:pPr>
      <w:r>
        <w:rPr>
          <w:rFonts w:hint="eastAsia"/>
          <w:szCs w:val="21"/>
        </w:rPr>
        <w:t>3.7 本次招标</w:t>
      </w:r>
      <w:r>
        <w:rPr>
          <w:rFonts w:hint="eastAsia"/>
          <w:szCs w:val="21"/>
          <w:u w:val="single"/>
        </w:rPr>
        <w:t xml:space="preserve"> 不接受 </w:t>
      </w:r>
      <w:r>
        <w:rPr>
          <w:rFonts w:hint="eastAsia"/>
          <w:szCs w:val="21"/>
        </w:rPr>
        <w:t>联合体投标；</w:t>
      </w:r>
    </w:p>
    <w:p w14:paraId="545DD612">
      <w:pPr>
        <w:spacing w:line="360" w:lineRule="auto"/>
        <w:ind w:left="105" w:leftChars="50" w:firstLine="315" w:firstLineChars="150"/>
        <w:jc w:val="left"/>
        <w:rPr>
          <w:szCs w:val="21"/>
        </w:rPr>
      </w:pPr>
      <w:r>
        <w:rPr>
          <w:rFonts w:hint="eastAsia"/>
          <w:szCs w:val="21"/>
        </w:rPr>
        <w:t>3.8投标人不得存在下列情形之一：</w:t>
      </w:r>
    </w:p>
    <w:p w14:paraId="2EEA5000">
      <w:pPr>
        <w:spacing w:line="360" w:lineRule="auto"/>
        <w:ind w:left="105" w:leftChars="50" w:firstLine="315" w:firstLineChars="150"/>
        <w:jc w:val="left"/>
        <w:rPr>
          <w:szCs w:val="21"/>
        </w:rPr>
      </w:pPr>
      <w:r>
        <w:rPr>
          <w:rFonts w:hint="eastAsia"/>
          <w:szCs w:val="21"/>
        </w:rPr>
        <w:t>①为招标人不具有独立法人资格的附属机构（单位）；</w:t>
      </w:r>
    </w:p>
    <w:p w14:paraId="6E0BD335">
      <w:pPr>
        <w:spacing w:line="360" w:lineRule="auto"/>
        <w:ind w:left="105" w:leftChars="50" w:firstLine="315" w:firstLineChars="150"/>
        <w:jc w:val="left"/>
        <w:rPr>
          <w:szCs w:val="21"/>
        </w:rPr>
      </w:pPr>
      <w:r>
        <w:rPr>
          <w:rFonts w:hint="eastAsia"/>
          <w:szCs w:val="21"/>
        </w:rPr>
        <w:t>②为本招标项目的监理人、代建人、项目管理人，以及为本招标项目提供招标代理服务的；</w:t>
      </w:r>
    </w:p>
    <w:p w14:paraId="56B295D5">
      <w:pPr>
        <w:spacing w:line="360" w:lineRule="auto"/>
        <w:ind w:left="105" w:leftChars="50" w:firstLine="315" w:firstLineChars="150"/>
        <w:jc w:val="left"/>
        <w:rPr>
          <w:szCs w:val="21"/>
        </w:rPr>
      </w:pPr>
      <w:r>
        <w:rPr>
          <w:rFonts w:hint="eastAsia"/>
          <w:szCs w:val="21"/>
        </w:rPr>
        <w:t>③与本招标项目的监理人、代建人、招标代理机构同为一个法定代表人的，或者相互控股、参股的；</w:t>
      </w:r>
    </w:p>
    <w:p w14:paraId="1C2AF6B4">
      <w:pPr>
        <w:spacing w:line="360" w:lineRule="auto"/>
        <w:ind w:left="105" w:leftChars="50" w:firstLine="315" w:firstLineChars="150"/>
        <w:jc w:val="left"/>
        <w:rPr>
          <w:szCs w:val="21"/>
        </w:rPr>
      </w:pPr>
      <w:r>
        <w:rPr>
          <w:rFonts w:hint="eastAsia"/>
          <w:szCs w:val="21"/>
        </w:rPr>
        <w:t>④单位负责人为同一人或者存在控股、管理关系的不同单位；</w:t>
      </w:r>
    </w:p>
    <w:p w14:paraId="37472791">
      <w:pPr>
        <w:spacing w:line="360" w:lineRule="auto"/>
        <w:ind w:left="105" w:leftChars="50" w:firstLine="315" w:firstLineChars="150"/>
        <w:jc w:val="left"/>
        <w:rPr>
          <w:szCs w:val="21"/>
        </w:rPr>
      </w:pPr>
      <w:r>
        <w:rPr>
          <w:rFonts w:hint="eastAsia"/>
          <w:szCs w:val="21"/>
        </w:rPr>
        <w:t>⑤处于被责令停业、财产被接管、冻结和破产状态；</w:t>
      </w:r>
    </w:p>
    <w:p w14:paraId="3FC5A6CA">
      <w:pPr>
        <w:spacing w:line="360" w:lineRule="auto"/>
        <w:ind w:left="105" w:leftChars="50" w:firstLine="315" w:firstLineChars="150"/>
        <w:jc w:val="left"/>
        <w:rPr>
          <w:szCs w:val="21"/>
        </w:rPr>
      </w:pPr>
      <w:r>
        <w:rPr>
          <w:rFonts w:hint="eastAsia"/>
          <w:szCs w:val="21"/>
        </w:rPr>
        <w:t>⑥投标资格被取消或者被暂停且在暂停期内；</w:t>
      </w:r>
    </w:p>
    <w:p w14:paraId="1C9C674E">
      <w:pPr>
        <w:spacing w:line="360" w:lineRule="auto"/>
        <w:ind w:left="105" w:leftChars="50" w:firstLine="315" w:firstLineChars="150"/>
        <w:jc w:val="left"/>
        <w:rPr>
          <w:szCs w:val="21"/>
        </w:rPr>
      </w:pPr>
      <w:r>
        <w:rPr>
          <w:rFonts w:hint="eastAsia"/>
          <w:szCs w:val="21"/>
        </w:rPr>
        <w:t>⑦因拖欠工人工资被有关部门限制在本招标项目所在地承接工程的；</w:t>
      </w:r>
    </w:p>
    <w:p w14:paraId="3733DF99">
      <w:pPr>
        <w:spacing w:line="360" w:lineRule="auto"/>
        <w:ind w:left="105" w:leftChars="50" w:firstLine="315" w:firstLineChars="150"/>
        <w:jc w:val="left"/>
        <w:rPr>
          <w:szCs w:val="21"/>
        </w:rPr>
      </w:pPr>
      <w:r>
        <w:rPr>
          <w:rFonts w:hint="eastAsia"/>
          <w:szCs w:val="21"/>
        </w:rPr>
        <w:t>⑧法律、法规规定的其他情形。</w:t>
      </w:r>
    </w:p>
    <w:p w14:paraId="5C15B644">
      <w:pPr>
        <w:spacing w:line="360" w:lineRule="auto"/>
        <w:ind w:left="105" w:leftChars="50" w:firstLine="315" w:firstLineChars="150"/>
        <w:jc w:val="left"/>
        <w:rPr>
          <w:szCs w:val="21"/>
        </w:rPr>
      </w:pPr>
      <w:r>
        <w:rPr>
          <w:rFonts w:hint="eastAsia"/>
          <w:szCs w:val="21"/>
        </w:rPr>
        <w:t>3.9本工程招标工作执行苏信用办[2018]23号关于印发《关于在公共资源交易领域的招标投标活动中建立对失信被执行人联合惩戒机制的实施意见》的通知。</w:t>
      </w:r>
    </w:p>
    <w:p w14:paraId="47FE25B2">
      <w:pPr>
        <w:widowControl/>
        <w:spacing w:line="360" w:lineRule="auto"/>
        <w:ind w:firstLine="420" w:firstLineChars="200"/>
        <w:jc w:val="left"/>
        <w:textAlignment w:val="baseline"/>
        <w:rPr>
          <w:kern w:val="0"/>
          <w:szCs w:val="21"/>
          <w:u w:val="single"/>
        </w:rPr>
      </w:pPr>
      <w:r>
        <w:rPr>
          <w:rFonts w:hint="eastAsia"/>
          <w:szCs w:val="21"/>
        </w:rPr>
        <w:t>3.10</w:t>
      </w:r>
      <w:r>
        <w:rPr>
          <w:rFonts w:hint="eastAsia"/>
          <w:color w:val="auto"/>
          <w:szCs w:val="21"/>
        </w:rPr>
        <w:t>投标人须承诺拟报项目组成员提供驻场服务，</w:t>
      </w:r>
      <w:r>
        <w:rPr>
          <w:rFonts w:hint="eastAsia"/>
          <w:szCs w:val="21"/>
        </w:rPr>
        <w:t>承诺格式见招标文件附件。</w:t>
      </w:r>
    </w:p>
    <w:p w14:paraId="7BF8F314">
      <w:pPr>
        <w:spacing w:line="360" w:lineRule="auto"/>
        <w:ind w:firstLine="437"/>
        <w:rPr>
          <w:szCs w:val="21"/>
        </w:rPr>
      </w:pPr>
      <w:bookmarkStart w:id="39" w:name="_Toc387526170"/>
      <w:bookmarkStart w:id="40" w:name="_Toc387526274"/>
      <w:bookmarkStart w:id="41" w:name="_Toc387526366"/>
      <w:r>
        <w:rPr>
          <w:rFonts w:hint="eastAsia"/>
          <w:szCs w:val="21"/>
        </w:rPr>
        <w:t>3.11</w:t>
      </w:r>
      <w:r>
        <w:rPr>
          <w:szCs w:val="21"/>
        </w:rPr>
        <w:t>符合相关法律、法规规定</w:t>
      </w:r>
      <w:r>
        <w:rPr>
          <w:rFonts w:hint="eastAsia"/>
          <w:szCs w:val="21"/>
        </w:rPr>
        <w:t>的其他要求。</w:t>
      </w:r>
      <w:bookmarkEnd w:id="39"/>
      <w:bookmarkEnd w:id="40"/>
      <w:bookmarkEnd w:id="41"/>
    </w:p>
    <w:p w14:paraId="1892492B">
      <w:pPr>
        <w:spacing w:line="360" w:lineRule="auto"/>
        <w:rPr>
          <w:rFonts w:ascii="Arial" w:hAnsi="Arial" w:cs="宋体"/>
          <w:b/>
          <w:bCs/>
          <w:szCs w:val="21"/>
          <w:u w:val="single"/>
        </w:rPr>
      </w:pPr>
      <w:bookmarkStart w:id="42" w:name="_Toc57041886"/>
      <w:r>
        <w:rPr>
          <w:rFonts w:hint="eastAsia" w:ascii="Arial" w:hAnsi="Arial" w:cs="宋体"/>
          <w:b/>
          <w:bCs/>
          <w:szCs w:val="21"/>
        </w:rPr>
        <w:t>4.评标办法：</w:t>
      </w:r>
      <w:bookmarkEnd w:id="42"/>
      <w:r>
        <w:rPr>
          <w:rFonts w:hint="eastAsia" w:ascii="Arial" w:hAnsi="Arial" w:cs="宋体"/>
          <w:b/>
          <w:bCs/>
          <w:szCs w:val="21"/>
          <w:highlight w:val="yellow"/>
          <w:u w:val="single"/>
        </w:rPr>
        <w:t>合理低价法</w:t>
      </w:r>
    </w:p>
    <w:p w14:paraId="3F0DB6AF">
      <w:pPr>
        <w:spacing w:line="360" w:lineRule="auto"/>
        <w:ind w:left="105" w:leftChars="50" w:firstLine="315" w:firstLineChars="150"/>
        <w:jc w:val="left"/>
        <w:rPr>
          <w:szCs w:val="21"/>
        </w:rPr>
      </w:pPr>
      <w:r>
        <w:rPr>
          <w:rFonts w:hint="eastAsia"/>
          <w:szCs w:val="21"/>
        </w:rPr>
        <w:t>本次招标采用合理低价法。</w:t>
      </w:r>
    </w:p>
    <w:p w14:paraId="0C263D08">
      <w:pPr>
        <w:spacing w:line="360" w:lineRule="auto"/>
        <w:ind w:left="105" w:leftChars="50" w:firstLine="315" w:firstLineChars="150"/>
        <w:jc w:val="left"/>
        <w:rPr>
          <w:szCs w:val="21"/>
        </w:rPr>
      </w:pPr>
      <w:r>
        <w:rPr>
          <w:rFonts w:hint="eastAsia"/>
          <w:szCs w:val="21"/>
        </w:rPr>
        <w:t>投标报价（100分）</w:t>
      </w:r>
    </w:p>
    <w:p w14:paraId="32000D23">
      <w:pPr>
        <w:spacing w:line="360" w:lineRule="auto"/>
        <w:ind w:left="105" w:leftChars="50" w:firstLine="315" w:firstLineChars="150"/>
        <w:jc w:val="left"/>
        <w:rPr>
          <w:szCs w:val="21"/>
        </w:rPr>
      </w:pPr>
      <w:r>
        <w:rPr>
          <w:rFonts w:hint="eastAsia"/>
          <w:szCs w:val="21"/>
        </w:rPr>
        <w:t>评标价等于评标基准价的得满分，评标价低于评标基准价1%，扣0.6分，评标价高于评标基准价1%，扣0.9分；偏离不足1%的，按照插入法计算得分。</w:t>
      </w:r>
    </w:p>
    <w:p w14:paraId="4704B827">
      <w:pPr>
        <w:spacing w:line="360" w:lineRule="auto"/>
        <w:ind w:left="105" w:leftChars="50" w:firstLine="315" w:firstLineChars="150"/>
        <w:jc w:val="left"/>
        <w:rPr>
          <w:szCs w:val="21"/>
        </w:rPr>
      </w:pPr>
      <w:r>
        <w:rPr>
          <w:rFonts w:hint="eastAsia"/>
          <w:szCs w:val="21"/>
        </w:rPr>
        <w:t>以有效投标文件（有效投标文件是指初步评审合格的投标文件，下同）的评标价（评标价是指经澄清、补正和修正算术计算错误的投标报价，下同）算术平均值为A【当有效投标文件≥7家时，去掉最高和最低20%（四舍五入取整，末位投标报价相同的均保留）后进行平均；当有效投标文件4-6家时，剔除最高报价（最高报价相同的均剔除）后进行算术平均；当有效投标文件＜4时，则次低报价作为投标平均价A】。</w:t>
      </w:r>
    </w:p>
    <w:p w14:paraId="1B19921A">
      <w:pPr>
        <w:spacing w:line="360" w:lineRule="auto"/>
        <w:ind w:left="105" w:leftChars="50" w:firstLine="315" w:firstLineChars="150"/>
        <w:jc w:val="left"/>
        <w:rPr>
          <w:szCs w:val="21"/>
        </w:rPr>
      </w:pPr>
      <w:r>
        <w:rPr>
          <w:rFonts w:hint="eastAsia"/>
          <w:szCs w:val="21"/>
        </w:rPr>
        <w:t>评标基准价=A×K，K值在开标时由招标人代表在开标现场随机抽取确定，K值的取值范围为：93%、94%、95%、96%、97%。</w:t>
      </w:r>
    </w:p>
    <w:p w14:paraId="3F06B26E">
      <w:pPr>
        <w:spacing w:line="360" w:lineRule="auto"/>
        <w:ind w:left="105" w:leftChars="50" w:firstLine="315" w:firstLineChars="150"/>
        <w:jc w:val="left"/>
        <w:rPr>
          <w:szCs w:val="21"/>
        </w:rPr>
      </w:pPr>
      <w:r>
        <w:rPr>
          <w:rFonts w:hint="eastAsia"/>
          <w:szCs w:val="21"/>
        </w:rPr>
        <w:t>说明：1.评标结束后，除确认存在评委评审和计算错误外，评标基准价不因招投标当事人异议、投诉、复议以及其它任何情形而改变。</w:t>
      </w:r>
    </w:p>
    <w:p w14:paraId="7EF80EA2">
      <w:pPr>
        <w:spacing w:line="360" w:lineRule="auto"/>
        <w:ind w:left="105" w:leftChars="50" w:firstLine="315" w:firstLineChars="150"/>
        <w:jc w:val="left"/>
        <w:rPr>
          <w:szCs w:val="21"/>
        </w:rPr>
      </w:pPr>
      <w:r>
        <w:rPr>
          <w:rFonts w:hint="eastAsia"/>
          <w:szCs w:val="21"/>
        </w:rPr>
        <w:t>2.若经上述评审后存在两家及以上报价相同，则由委托人通过抽签方式确定最终中标人。</w:t>
      </w:r>
    </w:p>
    <w:p w14:paraId="0D56538B">
      <w:pPr>
        <w:spacing w:line="360" w:lineRule="auto"/>
        <w:rPr>
          <w:rFonts w:ascii="Arial" w:hAnsi="Arial" w:cs="宋体"/>
          <w:b/>
          <w:bCs/>
          <w:szCs w:val="21"/>
        </w:rPr>
      </w:pPr>
      <w:bookmarkStart w:id="43" w:name="_Toc387526368"/>
      <w:bookmarkStart w:id="44" w:name="_Toc21359"/>
      <w:bookmarkStart w:id="45" w:name="_Toc387526172"/>
      <w:bookmarkStart w:id="46" w:name="_Toc387526276"/>
      <w:r>
        <w:rPr>
          <w:rFonts w:hint="eastAsia" w:ascii="Arial" w:hAnsi="Arial" w:cs="宋体"/>
          <w:b/>
          <w:bCs/>
          <w:szCs w:val="21"/>
        </w:rPr>
        <w:t>5. 获取招标文件方法：</w:t>
      </w:r>
    </w:p>
    <w:bookmarkEnd w:id="43"/>
    <w:bookmarkEnd w:id="44"/>
    <w:bookmarkEnd w:id="45"/>
    <w:bookmarkEnd w:id="46"/>
    <w:p w14:paraId="43CFA42F">
      <w:pPr>
        <w:spacing w:line="360" w:lineRule="auto"/>
        <w:ind w:firstLine="437"/>
        <w:rPr>
          <w:szCs w:val="21"/>
        </w:rPr>
      </w:pPr>
      <w:r>
        <w:rPr>
          <w:rFonts w:hint="eastAsia"/>
          <w:szCs w:val="21"/>
        </w:rPr>
        <w:t>5.1获取时间：</w:t>
      </w:r>
      <w:r>
        <w:rPr>
          <w:rFonts w:hint="eastAsia"/>
          <w:szCs w:val="21"/>
          <w:highlight w:val="yellow"/>
          <w:u w:val="single"/>
        </w:rPr>
        <w:t xml:space="preserve">2024年 </w:t>
      </w:r>
      <w:r>
        <w:rPr>
          <w:rFonts w:hint="eastAsia"/>
          <w:szCs w:val="21"/>
          <w:highlight w:val="yellow"/>
          <w:u w:val="single"/>
          <w:lang w:val="en-US" w:eastAsia="zh-CN"/>
        </w:rPr>
        <w:t>8</w:t>
      </w:r>
      <w:r>
        <w:rPr>
          <w:rFonts w:hint="eastAsia"/>
          <w:szCs w:val="21"/>
          <w:highlight w:val="yellow"/>
          <w:u w:val="single"/>
        </w:rPr>
        <w:t xml:space="preserve"> 月 </w:t>
      </w:r>
      <w:r>
        <w:rPr>
          <w:rFonts w:hint="eastAsia"/>
          <w:szCs w:val="21"/>
          <w:highlight w:val="yellow"/>
          <w:u w:val="single"/>
          <w:lang w:val="en-US" w:eastAsia="zh-CN"/>
        </w:rPr>
        <w:t>19</w:t>
      </w:r>
      <w:r>
        <w:rPr>
          <w:rFonts w:hint="eastAsia"/>
          <w:szCs w:val="21"/>
          <w:highlight w:val="yellow"/>
          <w:u w:val="single"/>
        </w:rPr>
        <w:t xml:space="preserve"> 日至2024年 </w:t>
      </w:r>
      <w:r>
        <w:rPr>
          <w:rFonts w:hint="eastAsia"/>
          <w:szCs w:val="21"/>
          <w:highlight w:val="yellow"/>
          <w:u w:val="single"/>
          <w:lang w:val="en-US" w:eastAsia="zh-CN"/>
        </w:rPr>
        <w:t>8</w:t>
      </w:r>
      <w:r>
        <w:rPr>
          <w:rFonts w:hint="eastAsia"/>
          <w:szCs w:val="21"/>
          <w:highlight w:val="yellow"/>
          <w:u w:val="single"/>
        </w:rPr>
        <w:t xml:space="preserve"> 月</w:t>
      </w:r>
      <w:r>
        <w:rPr>
          <w:rFonts w:hint="eastAsia"/>
          <w:szCs w:val="21"/>
          <w:highlight w:val="yellow"/>
          <w:u w:val="single"/>
          <w:lang w:val="en-US" w:eastAsia="zh-CN"/>
        </w:rPr>
        <w:t>23</w:t>
      </w:r>
      <w:r>
        <w:rPr>
          <w:rFonts w:hint="eastAsia"/>
          <w:szCs w:val="21"/>
          <w:highlight w:val="yellow"/>
          <w:u w:val="single"/>
        </w:rPr>
        <w:t xml:space="preserve"> 日</w:t>
      </w:r>
      <w:r>
        <w:rPr>
          <w:rFonts w:hint="eastAsia"/>
          <w:szCs w:val="21"/>
        </w:rPr>
        <w:t>。</w:t>
      </w:r>
    </w:p>
    <w:p w14:paraId="2DF25540">
      <w:pPr>
        <w:widowControl/>
        <w:shd w:val="clear" w:color="auto" w:fill="FFFFFF"/>
        <w:spacing w:line="360" w:lineRule="auto"/>
        <w:ind w:firstLine="420"/>
        <w:rPr>
          <w:rFonts w:hint="eastAsia" w:ascii="宋体" w:hAnsi="宋体" w:cs="宋体"/>
          <w:color w:val="000000"/>
          <w:kern w:val="0"/>
          <w:szCs w:val="21"/>
        </w:rPr>
      </w:pPr>
      <w:r>
        <w:rPr>
          <w:rFonts w:hint="eastAsia"/>
          <w:szCs w:val="21"/>
        </w:rPr>
        <w:t>5.2获取方式：</w:t>
      </w:r>
      <w:r>
        <w:rPr>
          <w:rFonts w:hint="eastAsia" w:ascii="宋体" w:hAnsi="宋体" w:cs="宋体"/>
          <w:color w:val="000000"/>
          <w:kern w:val="0"/>
          <w:szCs w:val="21"/>
        </w:rPr>
        <w:t>投标人使用“江苏 CA数字证书”在规定时间内登陆电子招标投标交易平台(https://suhai.etrading.cn/)线上报名并下载招标资料。</w:t>
      </w:r>
    </w:p>
    <w:p w14:paraId="44BD38C3">
      <w:pPr>
        <w:widowControl/>
        <w:shd w:val="clear" w:color="auto" w:fill="FFFFFF"/>
        <w:spacing w:line="360" w:lineRule="auto"/>
        <w:ind w:firstLine="420"/>
        <w:rPr>
          <w:rFonts w:hint="eastAsia" w:ascii="宋体" w:hAnsi="宋体" w:cs="宋体"/>
          <w:b/>
          <w:color w:val="000000"/>
          <w:kern w:val="0"/>
          <w:szCs w:val="21"/>
        </w:rPr>
      </w:pPr>
      <w:r>
        <w:rPr>
          <w:rFonts w:hint="eastAsia" w:ascii="宋体" w:hAnsi="宋体" w:cs="宋体"/>
          <w:b/>
          <w:color w:val="000000"/>
          <w:kern w:val="0"/>
          <w:szCs w:val="21"/>
        </w:rPr>
        <w:t>具体操作步骤可参照苏海采购平台中办事指南中的视频操作。</w:t>
      </w:r>
    </w:p>
    <w:p w14:paraId="056F31DA">
      <w:pPr>
        <w:widowControl/>
        <w:shd w:val="clear" w:color="auto" w:fill="FFFFFF"/>
        <w:spacing w:line="360" w:lineRule="auto"/>
        <w:ind w:firstLine="420"/>
        <w:rPr>
          <w:rFonts w:ascii="宋体" w:hAnsi="宋体" w:cs="宋体"/>
          <w:color w:val="000000"/>
          <w:kern w:val="0"/>
          <w:szCs w:val="21"/>
        </w:rPr>
      </w:pPr>
      <w:r>
        <w:rPr>
          <w:rFonts w:hint="eastAsia" w:ascii="宋体" w:hAnsi="宋体" w:cs="宋体"/>
          <w:color w:val="000000"/>
          <w:kern w:val="0"/>
          <w:szCs w:val="21"/>
          <w:lang w:val="en-US" w:eastAsia="zh-CN"/>
        </w:rPr>
        <w:t>5</w:t>
      </w:r>
      <w:r>
        <w:rPr>
          <w:rFonts w:hint="eastAsia" w:ascii="宋体" w:hAnsi="宋体" w:cs="宋体"/>
          <w:color w:val="000000"/>
          <w:kern w:val="0"/>
          <w:szCs w:val="21"/>
        </w:rPr>
        <w:t>.3潜在投标人应在投标截止时间前随时査看“电子招标投标交易平台”中有关该工程招标文件的修改、澄清、答疑等内容。否则，由此引起的投标损失自负。</w:t>
      </w:r>
    </w:p>
    <w:p w14:paraId="658B887F">
      <w:pPr>
        <w:widowControl/>
        <w:shd w:val="clear" w:color="auto" w:fill="FFFFFF"/>
        <w:spacing w:line="360" w:lineRule="auto"/>
        <w:ind w:firstLine="420"/>
        <w:rPr>
          <w:rFonts w:hint="eastAsia" w:ascii="宋体" w:hAnsi="宋体" w:cs="宋体"/>
          <w:color w:val="000000"/>
          <w:kern w:val="0"/>
          <w:szCs w:val="21"/>
        </w:rPr>
      </w:pPr>
      <w:r>
        <w:rPr>
          <w:rFonts w:hint="eastAsia" w:ascii="宋体" w:hAnsi="宋体" w:cs="宋体"/>
          <w:color w:val="000000"/>
          <w:kern w:val="0"/>
          <w:szCs w:val="21"/>
        </w:rPr>
        <w:t>本招标公告及招标文件中“电子招标投标交易平台”是指：江苏苏海投资集团有限公司集采平台</w:t>
      </w:r>
      <w:r>
        <w:fldChar w:fldCharType="begin"/>
      </w:r>
      <w:r>
        <w:instrText xml:space="preserve"> HYPERLINK "https://suhai.etrading.cn/" </w:instrText>
      </w:r>
      <w:r>
        <w:fldChar w:fldCharType="separate"/>
      </w:r>
      <w:r>
        <w:rPr>
          <w:rFonts w:hint="eastAsia" w:ascii="宋体" w:hAnsi="宋体" w:cs="宋体"/>
          <w:color w:val="000000"/>
          <w:kern w:val="0"/>
          <w:szCs w:val="21"/>
          <w:u w:val="single"/>
        </w:rPr>
        <w:t>https://suhai.etrading.cn/</w:t>
      </w:r>
      <w:r>
        <w:rPr>
          <w:rFonts w:hint="eastAsia" w:ascii="宋体" w:hAnsi="宋体" w:cs="宋体"/>
          <w:color w:val="000000"/>
          <w:kern w:val="0"/>
          <w:szCs w:val="21"/>
          <w:u w:val="single"/>
        </w:rPr>
        <w:fldChar w:fldCharType="end"/>
      </w:r>
      <w:r>
        <w:rPr>
          <w:rFonts w:hint="eastAsia" w:ascii="宋体" w:hAnsi="宋体" w:cs="宋体"/>
          <w:color w:val="000000"/>
          <w:kern w:val="0"/>
          <w:szCs w:val="21"/>
        </w:rPr>
        <w:t>；</w:t>
      </w:r>
    </w:p>
    <w:p w14:paraId="0F14E017">
      <w:pPr>
        <w:widowControl/>
        <w:shd w:val="clear" w:color="auto" w:fill="FFFFFF"/>
        <w:spacing w:line="315" w:lineRule="atLeast"/>
        <w:rPr>
          <w:rFonts w:ascii="宋体" w:hAnsi="宋体" w:cs="Arial"/>
          <w:kern w:val="0"/>
          <w:sz w:val="24"/>
        </w:rPr>
      </w:pPr>
      <w:r>
        <w:rPr>
          <w:rFonts w:hint="eastAsia" w:ascii="宋体" w:hAnsi="宋体" w:cs="Arial"/>
          <w:b/>
          <w:bCs/>
          <w:kern w:val="0"/>
          <w:sz w:val="24"/>
        </w:rPr>
        <w:t>6、投标文件的递交</w:t>
      </w:r>
    </w:p>
    <w:p w14:paraId="2EE5865B">
      <w:pPr>
        <w:spacing w:line="360" w:lineRule="auto"/>
        <w:ind w:firstLine="437"/>
        <w:rPr>
          <w:szCs w:val="21"/>
        </w:rPr>
      </w:pPr>
      <w:r>
        <w:rPr>
          <w:rFonts w:hint="eastAsia"/>
          <w:szCs w:val="21"/>
        </w:rPr>
        <w:t>6.1 投标文件递交的截止时间：</w:t>
      </w:r>
      <w:r>
        <w:rPr>
          <w:rFonts w:hint="eastAsia"/>
          <w:szCs w:val="21"/>
          <w:highlight w:val="yellow"/>
        </w:rPr>
        <w:t>202</w:t>
      </w:r>
      <w:r>
        <w:rPr>
          <w:szCs w:val="21"/>
          <w:highlight w:val="yellow"/>
        </w:rPr>
        <w:t>4</w:t>
      </w:r>
      <w:r>
        <w:rPr>
          <w:rFonts w:hint="eastAsia"/>
          <w:szCs w:val="21"/>
          <w:highlight w:val="yellow"/>
        </w:rPr>
        <w:t xml:space="preserve">年 </w:t>
      </w:r>
      <w:r>
        <w:rPr>
          <w:rFonts w:hint="eastAsia"/>
          <w:color w:val="auto"/>
          <w:szCs w:val="21"/>
          <w:highlight w:val="yellow"/>
          <w:u w:val="single"/>
          <w:lang w:val="en-US" w:eastAsia="zh-CN"/>
        </w:rPr>
        <w:t>8月23日上午10：00时</w:t>
      </w:r>
      <w:r>
        <w:rPr>
          <w:rFonts w:hint="eastAsia"/>
          <w:szCs w:val="21"/>
        </w:rPr>
        <w:t>（北京时间）。</w:t>
      </w:r>
    </w:p>
    <w:p w14:paraId="5844E51E">
      <w:pPr>
        <w:spacing w:line="360" w:lineRule="auto"/>
        <w:ind w:firstLine="420" w:firstLineChars="200"/>
        <w:rPr>
          <w:ins w:id="0" w:author="Administrator" w:date="2024-08-19T10:23:52Z"/>
          <w:rFonts w:hint="eastAsia"/>
          <w:szCs w:val="21"/>
        </w:rPr>
      </w:pPr>
      <w:r>
        <w:rPr>
          <w:rFonts w:hint="eastAsia"/>
          <w:szCs w:val="21"/>
        </w:rPr>
        <w:t>6.2</w:t>
      </w:r>
      <w:ins w:id="1" w:author="Administrator" w:date="2024-08-19T10:24:28Z">
        <w:r>
          <w:rPr>
            <w:rFonts w:hint="eastAsia"/>
            <w:szCs w:val="21"/>
            <w:lang w:val="en-US" w:eastAsia="zh-CN"/>
          </w:rPr>
          <w:t xml:space="preserve"> </w:t>
        </w:r>
      </w:ins>
      <w:ins w:id="2" w:author="Administrator" w:date="2024-08-19T10:24:24Z">
        <w:r>
          <w:rPr/>
          <w:t>开标时间：</w:t>
        </w:r>
      </w:ins>
      <w:ins w:id="3" w:author="Administrator" w:date="2024-08-19T10:24:24Z">
        <w:r>
          <w:rPr>
            <w:rFonts w:hint="eastAsia"/>
          </w:rPr>
          <w:t>同投标截止时间</w:t>
        </w:r>
      </w:ins>
    </w:p>
    <w:p w14:paraId="2C59A139">
      <w:pPr>
        <w:spacing w:line="360" w:lineRule="auto"/>
        <w:ind w:firstLine="420" w:firstLineChars="200"/>
      </w:pPr>
      <w:r>
        <w:rPr>
          <w:rFonts w:hint="eastAsia"/>
          <w:szCs w:val="21"/>
        </w:rPr>
        <w:t>投标文件的递交地点：本项</w:t>
      </w:r>
      <w:r>
        <w:rPr>
          <w:rFonts w:hint="eastAsia"/>
          <w:szCs w:val="21"/>
          <w:lang w:val="en-US" w:eastAsia="zh-CN"/>
        </w:rPr>
        <w:t>目</w:t>
      </w:r>
      <w:r>
        <w:rPr>
          <w:rFonts w:hint="eastAsia"/>
          <w:szCs w:val="21"/>
        </w:rPr>
        <w:t>采用不见面开标交易模式</w:t>
      </w:r>
      <w:r>
        <w:rPr>
          <w:rFonts w:hint="eastAsia"/>
        </w:rPr>
        <w:t>（具体方法详见投标人须知前附表）。</w:t>
      </w:r>
    </w:p>
    <w:p w14:paraId="058AD1F7">
      <w:pPr>
        <w:spacing w:line="360" w:lineRule="auto"/>
        <w:ind w:firstLine="420" w:firstLineChars="200"/>
      </w:pPr>
      <w:r>
        <w:rPr>
          <w:rFonts w:hint="eastAsia"/>
        </w:rPr>
        <w:t>特别提醒：为落实省级相关部门不见面开标交易模式。各投标单位在报名前应慎重考虑并确保在招标文件规定的时间完成投标文件。</w:t>
      </w:r>
    </w:p>
    <w:p w14:paraId="72DC722D">
      <w:pPr>
        <w:spacing w:line="360" w:lineRule="auto"/>
        <w:ind w:firstLine="437"/>
        <w:rPr>
          <w:rFonts w:ascii="Arial" w:hAnsi="Arial" w:cs="宋体"/>
          <w:b/>
          <w:bCs/>
          <w:szCs w:val="21"/>
        </w:rPr>
      </w:pPr>
      <w:bookmarkStart w:id="47" w:name="_Toc387526175"/>
      <w:bookmarkStart w:id="48" w:name="_Toc406166725"/>
      <w:bookmarkStart w:id="49" w:name="_Toc397928545"/>
      <w:bookmarkStart w:id="50" w:name="_Toc387526371"/>
      <w:bookmarkStart w:id="51" w:name="_Toc2914"/>
      <w:bookmarkStart w:id="52" w:name="_Toc13051"/>
      <w:bookmarkStart w:id="53" w:name="_Toc387526279"/>
      <w:bookmarkStart w:id="54" w:name="_Toc406167032"/>
      <w:r>
        <w:rPr>
          <w:rFonts w:hint="eastAsia" w:ascii="Arial" w:hAnsi="Arial" w:cs="宋体"/>
          <w:b/>
          <w:bCs/>
          <w:szCs w:val="21"/>
        </w:rPr>
        <w:t>7. 发布公告的媒介</w:t>
      </w:r>
      <w:bookmarkEnd w:id="47"/>
      <w:bookmarkEnd w:id="48"/>
      <w:bookmarkEnd w:id="49"/>
      <w:bookmarkEnd w:id="50"/>
      <w:bookmarkEnd w:id="51"/>
      <w:bookmarkEnd w:id="52"/>
      <w:bookmarkEnd w:id="53"/>
      <w:bookmarkEnd w:id="54"/>
    </w:p>
    <w:p w14:paraId="0E15282E">
      <w:pPr>
        <w:spacing w:line="360" w:lineRule="auto"/>
        <w:ind w:firstLine="437"/>
        <w:rPr>
          <w:szCs w:val="21"/>
        </w:rPr>
      </w:pPr>
      <w:r>
        <w:rPr>
          <w:rFonts w:hint="eastAsia"/>
          <w:szCs w:val="21"/>
        </w:rPr>
        <w:t>本次招标公告同时在</w:t>
      </w:r>
      <w:r>
        <w:rPr>
          <w:rFonts w:hint="eastAsia"/>
          <w:szCs w:val="21"/>
          <w:u w:val="single"/>
        </w:rPr>
        <w:t>江苏苏海投资集团有限公司集中采购平台</w:t>
      </w:r>
      <w:r>
        <w:rPr>
          <w:rFonts w:hint="eastAsia"/>
          <w:szCs w:val="21"/>
        </w:rPr>
        <w:t>（发布公告的媒介名称）上发布。</w:t>
      </w:r>
    </w:p>
    <w:p w14:paraId="5CB31BB1">
      <w:pPr>
        <w:spacing w:line="360" w:lineRule="auto"/>
        <w:ind w:firstLine="437"/>
        <w:rPr>
          <w:rFonts w:ascii="Arial" w:hAnsi="Arial" w:cs="宋体"/>
          <w:b/>
          <w:bCs/>
          <w:szCs w:val="21"/>
        </w:rPr>
      </w:pPr>
      <w:bookmarkStart w:id="55" w:name="_Toc389065130"/>
      <w:bookmarkStart w:id="56" w:name="_Toc32718"/>
      <w:bookmarkStart w:id="57" w:name="_Toc11912222"/>
      <w:bookmarkStart w:id="58" w:name="_Toc57041888"/>
      <w:bookmarkStart w:id="59" w:name="_Toc508286065"/>
      <w:r>
        <w:rPr>
          <w:rFonts w:hint="eastAsia" w:ascii="Arial" w:hAnsi="Arial" w:cs="宋体"/>
          <w:b/>
          <w:bCs/>
          <w:szCs w:val="21"/>
        </w:rPr>
        <w:t>8</w:t>
      </w:r>
      <w:r>
        <w:rPr>
          <w:rFonts w:ascii="Arial" w:hAnsi="Arial" w:cs="宋体"/>
          <w:b/>
          <w:bCs/>
          <w:szCs w:val="21"/>
        </w:rPr>
        <w:t>.</w:t>
      </w:r>
      <w:bookmarkEnd w:id="55"/>
      <w:bookmarkEnd w:id="56"/>
      <w:r>
        <w:rPr>
          <w:rFonts w:hint="eastAsia" w:ascii="Arial" w:hAnsi="Arial" w:cs="宋体"/>
          <w:b/>
          <w:bCs/>
          <w:szCs w:val="21"/>
        </w:rPr>
        <w:t>联系方式</w:t>
      </w:r>
      <w:bookmarkEnd w:id="57"/>
      <w:bookmarkEnd w:id="58"/>
      <w:bookmarkEnd w:id="59"/>
    </w:p>
    <w:p w14:paraId="5E3A2ADE">
      <w:pPr>
        <w:adjustRightInd w:val="0"/>
        <w:snapToGrid w:val="0"/>
        <w:spacing w:line="360" w:lineRule="auto"/>
        <w:ind w:firstLine="420" w:firstLineChars="200"/>
        <w:rPr>
          <w:rFonts w:ascii="宋体" w:hAnsi="宋体"/>
          <w:szCs w:val="21"/>
        </w:rPr>
      </w:pPr>
      <w:r>
        <w:rPr>
          <w:rFonts w:hint="eastAsia" w:ascii="宋体" w:hAnsi="宋体"/>
          <w:szCs w:val="21"/>
        </w:rPr>
        <w:t>招标人：</w:t>
      </w:r>
      <w:r>
        <w:rPr>
          <w:rFonts w:hint="eastAsia" w:ascii="宋体" w:hAnsi="宋体"/>
          <w:szCs w:val="21"/>
          <w:lang w:val="en-US" w:eastAsia="zh-CN"/>
        </w:rPr>
        <w:t>XXXXXXXXXXXXXXX</w:t>
      </w:r>
      <w:r>
        <w:rPr>
          <w:rFonts w:hint="eastAsia" w:ascii="宋体" w:hAnsi="宋体"/>
          <w:szCs w:val="21"/>
        </w:rPr>
        <w:t xml:space="preserve">有限公司 </w:t>
      </w:r>
    </w:p>
    <w:p w14:paraId="788B711E">
      <w:pPr>
        <w:spacing w:line="360" w:lineRule="auto"/>
        <w:ind w:firstLine="420" w:firstLineChars="200"/>
        <w:rPr>
          <w:rFonts w:ascii="宋体" w:hAnsi="宋体" w:cs="宋体"/>
          <w:szCs w:val="21"/>
          <w:u w:val="single"/>
        </w:rPr>
      </w:pPr>
      <w:r>
        <w:rPr>
          <w:rFonts w:hint="eastAsia" w:ascii="宋体" w:hAnsi="宋体" w:cs="宋体"/>
          <w:szCs w:val="21"/>
        </w:rPr>
        <w:t>地    址：</w:t>
      </w:r>
      <w:r>
        <w:rPr>
          <w:rFonts w:hint="eastAsia" w:ascii="宋体" w:hAnsi="宋体" w:cs="宋体"/>
          <w:szCs w:val="21"/>
          <w:u w:val="single"/>
        </w:rPr>
        <w:t>连云港市赣榆区和安大厦</w:t>
      </w:r>
    </w:p>
    <w:p w14:paraId="187F9060">
      <w:pPr>
        <w:spacing w:line="360" w:lineRule="auto"/>
        <w:rPr>
          <w:rFonts w:ascii="宋体" w:hAnsi="宋体" w:cs="宋体"/>
          <w:szCs w:val="21"/>
          <w:u w:val="single"/>
        </w:rPr>
      </w:pP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 xml:space="preserve"> 联 系 人：</w:t>
      </w:r>
      <w:r>
        <w:rPr>
          <w:rFonts w:hint="eastAsia" w:ascii="宋体" w:hAnsi="宋体" w:cs="宋体"/>
          <w:szCs w:val="21"/>
          <w:u w:val="single"/>
        </w:rPr>
        <w:t xml:space="preserve"> </w:t>
      </w:r>
      <w:r>
        <w:rPr>
          <w:rFonts w:hint="eastAsia" w:ascii="宋体" w:hAnsi="宋体" w:cs="宋体"/>
          <w:szCs w:val="21"/>
          <w:u w:val="single"/>
          <w:lang w:val="en-US" w:eastAsia="zh-CN"/>
        </w:rPr>
        <w:t>XXX</w:t>
      </w:r>
      <w:r>
        <w:rPr>
          <w:rFonts w:ascii="宋体" w:hAnsi="宋体" w:cs="宋体"/>
          <w:szCs w:val="21"/>
          <w:u w:val="single"/>
        </w:rPr>
        <w:t xml:space="preserve"> </w:t>
      </w:r>
    </w:p>
    <w:p w14:paraId="70D26BBE">
      <w:pPr>
        <w:spacing w:line="360" w:lineRule="auto"/>
        <w:ind w:firstLine="420" w:firstLineChars="200"/>
        <w:rPr>
          <w:rFonts w:ascii="宋体" w:hAnsi="宋体" w:cs="Arial"/>
          <w:szCs w:val="21"/>
          <w:u w:val="single"/>
        </w:rPr>
      </w:pPr>
      <w:r>
        <w:rPr>
          <w:rFonts w:hint="eastAsia" w:ascii="宋体" w:hAnsi="宋体" w:cs="宋体"/>
          <w:szCs w:val="21"/>
        </w:rPr>
        <w:t>联系电话：</w:t>
      </w:r>
      <w:r>
        <w:rPr>
          <w:rFonts w:ascii="宋体" w:hAnsi="宋体" w:cs="宋体"/>
          <w:szCs w:val="21"/>
          <w:u w:val="single"/>
        </w:rPr>
        <w:t xml:space="preserve">  </w:t>
      </w:r>
      <w:r>
        <w:rPr>
          <w:rFonts w:hint="eastAsia" w:ascii="宋体" w:hAnsi="宋体" w:cs="宋体"/>
          <w:szCs w:val="21"/>
          <w:u w:val="single"/>
          <w:lang w:val="en-US" w:eastAsia="zh-CN"/>
        </w:rPr>
        <w:t>XXXXXXXXXX</w:t>
      </w:r>
      <w:r>
        <w:rPr>
          <w:rFonts w:ascii="宋体" w:hAnsi="宋体" w:cs="宋体"/>
          <w:szCs w:val="21"/>
          <w:u w:val="single"/>
        </w:rPr>
        <w:t xml:space="preserve"> </w:t>
      </w:r>
    </w:p>
    <w:bookmarkEnd w:id="18"/>
    <w:bookmarkEnd w:id="19"/>
    <w:p w14:paraId="05517A87">
      <w:pPr>
        <w:spacing w:line="360" w:lineRule="auto"/>
        <w:ind w:left="-105" w:leftChars="-50" w:firstLine="420" w:firstLineChars="200"/>
        <w:rPr>
          <w:rFonts w:hint="eastAsia" w:ascii="宋体" w:hAnsi="宋体" w:cs="宋体"/>
          <w:szCs w:val="21"/>
        </w:rPr>
      </w:pPr>
      <w:r>
        <w:rPr>
          <w:rFonts w:hint="eastAsia" w:ascii="宋体" w:hAnsi="宋体" w:cs="宋体"/>
          <w:szCs w:val="21"/>
        </w:rPr>
        <w:t xml:space="preserve">   </w:t>
      </w:r>
    </w:p>
    <w:p w14:paraId="6B496633">
      <w:pPr>
        <w:pStyle w:val="2"/>
        <w:rPr>
          <w:rFonts w:hint="eastAsia" w:ascii="宋体" w:hAnsi="宋体" w:cs="宋体"/>
          <w:szCs w:val="21"/>
        </w:rPr>
      </w:pPr>
    </w:p>
    <w:p w14:paraId="521BD3B6">
      <w:pPr>
        <w:pStyle w:val="2"/>
        <w:rPr>
          <w:rFonts w:hint="eastAsia" w:ascii="宋体" w:hAnsi="宋体" w:cs="宋体"/>
          <w:szCs w:val="21"/>
        </w:rPr>
      </w:pPr>
    </w:p>
    <w:p w14:paraId="387850E9">
      <w:pPr>
        <w:pStyle w:val="2"/>
        <w:rPr>
          <w:rFonts w:hint="eastAsia" w:ascii="宋体" w:hAnsi="宋体" w:cs="宋体"/>
          <w:szCs w:val="21"/>
        </w:rPr>
      </w:pPr>
    </w:p>
    <w:p w14:paraId="764F8F53">
      <w:pPr>
        <w:pStyle w:val="2"/>
        <w:rPr>
          <w:rFonts w:hint="eastAsia" w:ascii="宋体" w:hAnsi="宋体" w:cs="宋体"/>
          <w:szCs w:val="21"/>
        </w:rPr>
      </w:pPr>
    </w:p>
    <w:p w14:paraId="2E24A68B">
      <w:pPr>
        <w:pStyle w:val="2"/>
        <w:rPr>
          <w:rFonts w:hint="eastAsia" w:ascii="宋体" w:hAnsi="宋体" w:cs="宋体"/>
          <w:szCs w:val="21"/>
        </w:rPr>
      </w:pPr>
    </w:p>
    <w:p w14:paraId="6B9DF78F">
      <w:pPr>
        <w:pStyle w:val="16"/>
        <w:ind w:firstLine="482" w:firstLineChars="200"/>
        <w:rPr>
          <w:b/>
          <w:sz w:val="24"/>
        </w:rPr>
      </w:pPr>
    </w:p>
    <w:p w14:paraId="5295C096">
      <w:pPr>
        <w:pStyle w:val="16"/>
        <w:ind w:firstLine="482" w:firstLineChars="200"/>
        <w:rPr>
          <w:rFonts w:hint="eastAsia"/>
          <w:b/>
          <w:sz w:val="24"/>
        </w:rPr>
      </w:pPr>
      <w:r>
        <w:rPr>
          <w:rFonts w:hint="eastAsia"/>
          <w:b/>
          <w:sz w:val="24"/>
        </w:rPr>
        <w:t>特别提醒:</w:t>
      </w:r>
    </w:p>
    <w:p w14:paraId="27FD241F">
      <w:pPr>
        <w:spacing w:line="360" w:lineRule="auto"/>
        <w:ind w:firstLine="437"/>
        <w:rPr>
          <w:szCs w:val="21"/>
        </w:rPr>
      </w:pPr>
      <w:r>
        <w:rPr>
          <w:rFonts w:hint="eastAsia"/>
          <w:szCs w:val="21"/>
        </w:rPr>
        <w:t>1.本次招标要求网络上传投标文件（加密文件），不再要求投标人准备纸质文件。中标单位在领取中标通知书时需提供3份完整投标文件，其中正本一份副本二份。提供的书面投标文件为上传的电子版投标文件打印胶装生成，加盖法人公章，法定代表人(或授权委托人)签字或盖章。中标人提供的书面投标文件必须与网络上传投标文件（加密文件）一致。</w:t>
      </w:r>
    </w:p>
    <w:p w14:paraId="29E3D470">
      <w:pPr>
        <w:spacing w:line="360" w:lineRule="auto"/>
        <w:ind w:firstLine="437"/>
        <w:rPr>
          <w:szCs w:val="21"/>
        </w:rPr>
      </w:pPr>
      <w:r>
        <w:rPr>
          <w:rFonts w:hint="eastAsia"/>
          <w:szCs w:val="21"/>
        </w:rPr>
        <w:t>2.</w:t>
      </w:r>
      <w:r>
        <w:rPr>
          <w:rFonts w:hint="eastAsia"/>
        </w:rPr>
        <w:t xml:space="preserve"> </w:t>
      </w:r>
      <w:r>
        <w:rPr>
          <w:rFonts w:hint="eastAsia"/>
          <w:szCs w:val="21"/>
        </w:rPr>
        <w:t>投标人应在投标截止时间前，在“电子招标投标交易平台” 完成网上投标文件上传，各投标单位须确保在招标文件规定的时间内完成投标文件上传及解密工作。</w:t>
      </w:r>
    </w:p>
    <w:p w14:paraId="1931D5F3">
      <w:pPr>
        <w:spacing w:line="360" w:lineRule="auto"/>
        <w:ind w:firstLine="437"/>
        <w:rPr>
          <w:szCs w:val="21"/>
        </w:rPr>
      </w:pPr>
      <w:r>
        <w:rPr>
          <w:rFonts w:hint="eastAsia"/>
          <w:szCs w:val="21"/>
        </w:rPr>
        <w:t>3.电子标书制作:投标人请到苏海集团采购平台网“办事指南”载投标文件制作工具，并下载 CA 锁驱动、CAD控件等应用程序，用于打开招标文件并制作投标文件。</w:t>
      </w:r>
    </w:p>
    <w:p w14:paraId="560A1348">
      <w:pPr>
        <w:spacing w:line="360" w:lineRule="auto"/>
        <w:ind w:firstLine="437"/>
        <w:rPr>
          <w:rFonts w:hint="eastAsia"/>
          <w:szCs w:val="21"/>
        </w:rPr>
      </w:pPr>
      <w:r>
        <w:rPr>
          <w:rFonts w:hint="eastAsia"/>
          <w:szCs w:val="21"/>
        </w:rPr>
        <w:t>注:本次招标文件采用最新招标模板制作工具进行制作,投标人务必采用最新制作工具进行制作，投标单位制作投标文件时如遇投标工具中投标格式与招标文件不一致，请投标单位按照招标文件中投标格式要求编制一份投标文件资料添加在投标工具的【投标所需其他材料】中。如因投标人未按要求执行造成的一切后果(包括废标)均由投标人自行承担。</w:t>
      </w:r>
    </w:p>
    <w:p w14:paraId="52663BF8">
      <w:pPr>
        <w:spacing w:line="360" w:lineRule="auto"/>
        <w:ind w:firstLine="437"/>
        <w:rPr>
          <w:sz w:val="24"/>
        </w:rPr>
      </w:pPr>
      <w:r>
        <w:rPr>
          <w:rFonts w:hint="eastAsia"/>
          <w:sz w:val="24"/>
        </w:rPr>
        <w:t>友情提醒：如果您是第一次在连云港地区进行网络投标，请您先联系CA公司和江苏翔晟办理网络投标密码锁和企业电子签章，然后联系国泰新点软件公司进行密码锁的激活，用密码锁登陆相关网站会员系统进行诚信信息库的操作。以上步骤不进行或操作不完善，可能导致无法进场交易。</w:t>
      </w:r>
    </w:p>
    <w:p w14:paraId="37176B37">
      <w:pPr>
        <w:spacing w:line="360" w:lineRule="auto"/>
        <w:ind w:firstLine="437"/>
        <w:rPr>
          <w:sz w:val="24"/>
        </w:rPr>
      </w:pPr>
      <w:r>
        <w:rPr>
          <w:rFonts w:hint="eastAsia"/>
          <w:sz w:val="24"/>
        </w:rPr>
        <w:t>因江苏CA业务已被国信CA承接，现将本市认可的2家CA信息认证机构名单公布如下：</w:t>
      </w:r>
    </w:p>
    <w:tbl>
      <w:tblPr>
        <w:tblStyle w:val="43"/>
        <w:tblW w:w="9606"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1427"/>
        <w:gridCol w:w="3926"/>
        <w:gridCol w:w="4253"/>
      </w:tblGrid>
      <w:tr w14:paraId="1C60A5E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82" w:hRule="atLeast"/>
        </w:trPr>
        <w:tc>
          <w:tcPr>
            <w:tcW w:w="1427"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14:paraId="1878F9D2">
            <w:pPr>
              <w:widowControl/>
              <w:jc w:val="center"/>
              <w:rPr>
                <w:rFonts w:ascii="微软雅黑" w:hAnsi="微软雅黑" w:eastAsia="微软雅黑" w:cs="宋体"/>
                <w:color w:val="333333"/>
                <w:kern w:val="0"/>
                <w:sz w:val="24"/>
              </w:rPr>
            </w:pPr>
            <w:r>
              <w:rPr>
                <w:rFonts w:hint="eastAsia" w:ascii="宋体" w:hAnsi="宋体" w:cs="宋体"/>
                <w:b/>
                <w:bCs/>
                <w:color w:val="000000"/>
                <w:kern w:val="0"/>
                <w:sz w:val="24"/>
              </w:rPr>
              <w:t>企业名称</w:t>
            </w:r>
          </w:p>
        </w:tc>
        <w:tc>
          <w:tcPr>
            <w:tcW w:w="3926"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14:paraId="7414A2C9">
            <w:pPr>
              <w:widowControl/>
              <w:jc w:val="center"/>
              <w:rPr>
                <w:rFonts w:ascii="微软雅黑" w:hAnsi="微软雅黑" w:eastAsia="微软雅黑" w:cs="宋体"/>
                <w:color w:val="333333"/>
                <w:kern w:val="0"/>
                <w:sz w:val="24"/>
              </w:rPr>
            </w:pPr>
            <w:r>
              <w:rPr>
                <w:rFonts w:hint="eastAsia" w:ascii="宋体" w:hAnsi="宋体" w:cs="宋体"/>
                <w:b/>
                <w:bCs/>
                <w:color w:val="000000"/>
                <w:kern w:val="0"/>
                <w:sz w:val="24"/>
              </w:rPr>
              <w:t>中国金融认证中心</w:t>
            </w:r>
          </w:p>
        </w:tc>
        <w:tc>
          <w:tcPr>
            <w:tcW w:w="4253"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14:paraId="56B5ED62">
            <w:pPr>
              <w:widowControl/>
              <w:jc w:val="center"/>
              <w:rPr>
                <w:rFonts w:ascii="微软雅黑" w:hAnsi="微软雅黑" w:eastAsia="微软雅黑" w:cs="宋体"/>
                <w:color w:val="333333"/>
                <w:kern w:val="0"/>
                <w:sz w:val="24"/>
              </w:rPr>
            </w:pPr>
            <w:r>
              <w:rPr>
                <w:rFonts w:hint="eastAsia" w:ascii="宋体" w:hAnsi="宋体" w:cs="宋体"/>
                <w:b/>
                <w:bCs/>
                <w:color w:val="000000"/>
                <w:kern w:val="0"/>
                <w:sz w:val="24"/>
              </w:rPr>
              <w:t>江苏省国信数字科技有限公司</w:t>
            </w:r>
          </w:p>
        </w:tc>
      </w:tr>
      <w:tr w14:paraId="7C1B16E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354" w:hRule="atLeast"/>
        </w:trPr>
        <w:tc>
          <w:tcPr>
            <w:tcW w:w="1427"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14:paraId="42C8D4C6">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CA名称</w:t>
            </w:r>
          </w:p>
        </w:tc>
        <w:tc>
          <w:tcPr>
            <w:tcW w:w="392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14:paraId="2D978B92">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CFCA</w:t>
            </w:r>
          </w:p>
        </w:tc>
        <w:tc>
          <w:tcPr>
            <w:tcW w:w="4253"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14:paraId="29D21923">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国信CA</w:t>
            </w:r>
          </w:p>
        </w:tc>
      </w:tr>
      <w:tr w14:paraId="53DA7BB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633" w:hRule="atLeast"/>
        </w:trPr>
        <w:tc>
          <w:tcPr>
            <w:tcW w:w="1427"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14:paraId="364B5951">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联系人</w:t>
            </w:r>
          </w:p>
        </w:tc>
        <w:tc>
          <w:tcPr>
            <w:tcW w:w="392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14:paraId="03AE3C64">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孙丽丽18005133017</w:t>
            </w:r>
          </w:p>
        </w:tc>
        <w:tc>
          <w:tcPr>
            <w:tcW w:w="4253"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14:paraId="4E4F7223">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周梦雪15298603303</w:t>
            </w:r>
          </w:p>
          <w:p w14:paraId="58DA9031">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魏飞18261319191</w:t>
            </w:r>
          </w:p>
        </w:tc>
      </w:tr>
      <w:tr w14:paraId="5AC46B2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30" w:hRule="atLeast"/>
        </w:trPr>
        <w:tc>
          <w:tcPr>
            <w:tcW w:w="1427"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14:paraId="7FC92C77">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电话</w:t>
            </w:r>
          </w:p>
        </w:tc>
        <w:tc>
          <w:tcPr>
            <w:tcW w:w="392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14:paraId="63BBBD46">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18005133017</w:t>
            </w:r>
          </w:p>
        </w:tc>
        <w:tc>
          <w:tcPr>
            <w:tcW w:w="4253"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14:paraId="345923F0">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客服电话：4000251010</w:t>
            </w:r>
          </w:p>
        </w:tc>
      </w:tr>
      <w:tr w14:paraId="01FE486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862" w:hRule="atLeast"/>
        </w:trPr>
        <w:tc>
          <w:tcPr>
            <w:tcW w:w="1427"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14:paraId="3C509801">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办公地址</w:t>
            </w:r>
          </w:p>
        </w:tc>
        <w:tc>
          <w:tcPr>
            <w:tcW w:w="392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14:paraId="7AE44576">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连云港市海州区凌洲东路9号政务服务中心3号楼一楼大厅CFCA窗口</w:t>
            </w:r>
          </w:p>
        </w:tc>
        <w:tc>
          <w:tcPr>
            <w:tcW w:w="4253"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14:paraId="2249BDAD">
            <w:pPr>
              <w:widowControl/>
              <w:jc w:val="center"/>
              <w:rPr>
                <w:rFonts w:ascii="微软雅黑" w:hAnsi="微软雅黑" w:eastAsia="微软雅黑" w:cs="宋体"/>
                <w:color w:val="333333"/>
                <w:kern w:val="0"/>
                <w:sz w:val="24"/>
              </w:rPr>
            </w:pPr>
            <w:r>
              <w:rPr>
                <w:rFonts w:hint="eastAsia" w:ascii="宋体" w:hAnsi="宋体" w:cs="宋体"/>
                <w:color w:val="000000"/>
                <w:kern w:val="0"/>
                <w:sz w:val="24"/>
              </w:rPr>
              <w:t>连云港市海州区凌洲东路9号政务服务中心3号楼一楼[国信CA]窗口</w:t>
            </w:r>
          </w:p>
        </w:tc>
      </w:tr>
    </w:tbl>
    <w:p w14:paraId="54FD9E0F">
      <w:pPr>
        <w:pStyle w:val="16"/>
        <w:rPr>
          <w:rFonts w:hint="eastAsia"/>
        </w:rPr>
      </w:pPr>
    </w:p>
    <w:p w14:paraId="21D64012">
      <w:pPr>
        <w:widowControl/>
        <w:jc w:val="left"/>
        <w:rPr>
          <w:rFonts w:ascii="宋体" w:hAnsi="宋体"/>
        </w:rPr>
      </w:pPr>
      <w:r>
        <w:rPr>
          <w:rFonts w:ascii="宋体" w:hAnsi="宋体"/>
        </w:rPr>
        <w:br w:type="page"/>
      </w:r>
    </w:p>
    <w:p w14:paraId="3364C0C4">
      <w:pPr>
        <w:adjustRightInd w:val="0"/>
        <w:snapToGrid w:val="0"/>
        <w:spacing w:line="460" w:lineRule="exact"/>
        <w:ind w:firstLine="420" w:firstLineChars="200"/>
        <w:rPr>
          <w:rFonts w:ascii="宋体" w:hAnsi="宋体"/>
        </w:rPr>
      </w:pPr>
    </w:p>
    <w:p w14:paraId="3B43EAF5">
      <w:pPr>
        <w:adjustRightInd w:val="0"/>
        <w:snapToGrid w:val="0"/>
        <w:spacing w:line="460" w:lineRule="exact"/>
        <w:ind w:firstLine="883" w:firstLineChars="200"/>
        <w:jc w:val="center"/>
        <w:rPr>
          <w:b/>
          <w:bCs/>
          <w:kern w:val="44"/>
          <w:sz w:val="44"/>
          <w:szCs w:val="44"/>
        </w:rPr>
      </w:pPr>
    </w:p>
    <w:p w14:paraId="379984FB">
      <w:pPr>
        <w:adjustRightInd w:val="0"/>
        <w:snapToGrid w:val="0"/>
        <w:spacing w:line="460" w:lineRule="exact"/>
        <w:ind w:firstLine="883" w:firstLineChars="200"/>
        <w:jc w:val="center"/>
        <w:rPr>
          <w:b/>
          <w:bCs/>
          <w:kern w:val="44"/>
          <w:sz w:val="44"/>
          <w:szCs w:val="44"/>
        </w:rPr>
      </w:pPr>
      <w:r>
        <w:rPr>
          <w:rFonts w:hint="eastAsia"/>
          <w:b/>
          <w:bCs/>
          <w:kern w:val="44"/>
          <w:sz w:val="44"/>
          <w:szCs w:val="44"/>
        </w:rPr>
        <w:t>第二章  投标人须知</w:t>
      </w:r>
      <w:bookmarkEnd w:id="20"/>
      <w:bookmarkEnd w:id="21"/>
      <w:bookmarkEnd w:id="22"/>
      <w:bookmarkEnd w:id="23"/>
      <w:bookmarkEnd w:id="24"/>
      <w:bookmarkEnd w:id="25"/>
      <w:bookmarkEnd w:id="26"/>
      <w:bookmarkEnd w:id="27"/>
      <w:bookmarkEnd w:id="28"/>
    </w:p>
    <w:p w14:paraId="178F7212">
      <w:pPr>
        <w:pStyle w:val="112"/>
        <w:rPr>
          <w:color w:val="auto"/>
        </w:rPr>
      </w:pPr>
      <w:bookmarkStart w:id="60" w:name="_Toc387526178"/>
      <w:bookmarkStart w:id="61" w:name="_Toc369077559"/>
      <w:bookmarkStart w:id="62" w:name="_Toc16205"/>
      <w:bookmarkStart w:id="63" w:name="_Toc387526282"/>
      <w:bookmarkStart w:id="64" w:name="_Toc57041890"/>
      <w:bookmarkStart w:id="65" w:name="_Toc387526374"/>
      <w:r>
        <w:rPr>
          <w:rFonts w:hint="eastAsia"/>
          <w:color w:val="auto"/>
        </w:rPr>
        <w:t>投标人</w:t>
      </w:r>
      <w:r>
        <w:rPr>
          <w:color w:val="auto"/>
        </w:rPr>
        <w:t>须知前附表</w:t>
      </w:r>
      <w:bookmarkEnd w:id="60"/>
      <w:bookmarkEnd w:id="61"/>
      <w:bookmarkEnd w:id="62"/>
      <w:bookmarkEnd w:id="63"/>
      <w:bookmarkEnd w:id="64"/>
      <w:bookmarkEnd w:id="65"/>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511"/>
        <w:gridCol w:w="5568"/>
      </w:tblGrid>
      <w:tr w14:paraId="734C0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7517CAB1">
            <w:pPr>
              <w:jc w:val="center"/>
              <w:rPr>
                <w:b/>
              </w:rPr>
            </w:pPr>
            <w:r>
              <w:rPr>
                <w:b/>
              </w:rPr>
              <w:t>条款号</w:t>
            </w:r>
          </w:p>
        </w:tc>
        <w:tc>
          <w:tcPr>
            <w:tcW w:w="2511" w:type="dxa"/>
            <w:vAlign w:val="center"/>
          </w:tcPr>
          <w:p w14:paraId="2CC7E44F">
            <w:pPr>
              <w:jc w:val="center"/>
              <w:rPr>
                <w:b/>
              </w:rPr>
            </w:pPr>
            <w:r>
              <w:rPr>
                <w:b/>
              </w:rPr>
              <w:t>条 款 名 称</w:t>
            </w:r>
          </w:p>
        </w:tc>
        <w:tc>
          <w:tcPr>
            <w:tcW w:w="5568" w:type="dxa"/>
            <w:vAlign w:val="center"/>
          </w:tcPr>
          <w:p w14:paraId="0B8E75DB">
            <w:pPr>
              <w:jc w:val="center"/>
              <w:rPr>
                <w:b/>
              </w:rPr>
            </w:pPr>
            <w:r>
              <w:rPr>
                <w:b/>
              </w:rPr>
              <w:t>编 列 内 容</w:t>
            </w:r>
          </w:p>
        </w:tc>
      </w:tr>
      <w:tr w14:paraId="5DC0E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93" w:type="dxa"/>
            <w:vAlign w:val="center"/>
          </w:tcPr>
          <w:p w14:paraId="47A16CA8">
            <w:pPr>
              <w:jc w:val="center"/>
              <w:rPr>
                <w:rFonts w:hint="eastAsia" w:eastAsia="宋体"/>
                <w:lang w:eastAsia="zh-CN"/>
              </w:rPr>
            </w:pPr>
            <w:r>
              <w:t>1.1.</w:t>
            </w:r>
            <w:r>
              <w:rPr>
                <w:rFonts w:hint="eastAsia"/>
                <w:lang w:val="en-US" w:eastAsia="zh-CN"/>
              </w:rPr>
              <w:t>1</w:t>
            </w:r>
          </w:p>
        </w:tc>
        <w:tc>
          <w:tcPr>
            <w:tcW w:w="2511" w:type="dxa"/>
            <w:vAlign w:val="center"/>
          </w:tcPr>
          <w:p w14:paraId="16D23AA2">
            <w:r>
              <w:rPr>
                <w:rFonts w:hint="eastAsia"/>
              </w:rPr>
              <w:t>招标人</w:t>
            </w:r>
          </w:p>
        </w:tc>
        <w:tc>
          <w:tcPr>
            <w:tcW w:w="5568" w:type="dxa"/>
            <w:vAlign w:val="center"/>
          </w:tcPr>
          <w:p w14:paraId="1A2004E9">
            <w:pPr>
              <w:adjustRightInd w:val="0"/>
              <w:snapToGrid w:val="0"/>
              <w:spacing w:line="360" w:lineRule="auto"/>
              <w:rPr>
                <w:rFonts w:ascii="宋体" w:hAnsi="宋体" w:cs="宋体"/>
                <w:szCs w:val="21"/>
              </w:rPr>
            </w:pPr>
            <w:r>
              <w:rPr>
                <w:rFonts w:hint="eastAsia" w:ascii="宋体" w:hAnsi="宋体" w:cs="宋体"/>
                <w:szCs w:val="21"/>
              </w:rPr>
              <w:t>名称：</w:t>
            </w:r>
            <w:r>
              <w:rPr>
                <w:rFonts w:hint="eastAsia" w:ascii="宋体" w:hAnsi="宋体" w:cs="宋体"/>
                <w:szCs w:val="21"/>
                <w:lang w:val="en-US" w:eastAsia="zh-CN"/>
              </w:rPr>
              <w:t>XXXXXXXXXXXXXX</w:t>
            </w:r>
            <w:r>
              <w:rPr>
                <w:rFonts w:hint="eastAsia" w:ascii="宋体" w:hAnsi="宋体" w:cs="宋体"/>
                <w:szCs w:val="21"/>
              </w:rPr>
              <w:t>有限公司</w:t>
            </w:r>
          </w:p>
          <w:p w14:paraId="596930FD">
            <w:pPr>
              <w:spacing w:line="360" w:lineRule="auto"/>
              <w:rPr>
                <w:rFonts w:hint="default" w:ascii="宋体" w:hAnsi="宋体" w:eastAsia="宋体" w:cs="宋体"/>
                <w:szCs w:val="21"/>
                <w:lang w:val="en-US" w:eastAsia="zh-CN"/>
              </w:rPr>
            </w:pPr>
            <w:r>
              <w:rPr>
                <w:rFonts w:hint="eastAsia" w:ascii="宋体" w:hAnsi="宋体" w:cs="宋体"/>
                <w:szCs w:val="21"/>
              </w:rPr>
              <w:t>地址：</w:t>
            </w:r>
            <w:r>
              <w:rPr>
                <w:rFonts w:hint="eastAsia" w:ascii="宋体" w:hAnsi="宋体" w:cs="宋体"/>
                <w:szCs w:val="21"/>
                <w:lang w:val="en-US" w:eastAsia="zh-CN"/>
              </w:rPr>
              <w:t>XXXXXXXXXXX</w:t>
            </w:r>
          </w:p>
          <w:p w14:paraId="33894BA7">
            <w:pPr>
              <w:spacing w:line="360" w:lineRule="auto"/>
              <w:rPr>
                <w:rFonts w:ascii="宋体" w:hAnsi="宋体" w:cs="宋体"/>
                <w:szCs w:val="21"/>
              </w:rPr>
            </w:pPr>
            <w:r>
              <w:rPr>
                <w:rFonts w:hint="eastAsia" w:ascii="宋体" w:hAnsi="宋体" w:cs="宋体"/>
                <w:szCs w:val="21"/>
              </w:rPr>
              <w:t xml:space="preserve">联系人： </w:t>
            </w:r>
            <w:r>
              <w:rPr>
                <w:rFonts w:hint="eastAsia" w:ascii="宋体" w:hAnsi="宋体" w:cs="宋体"/>
                <w:szCs w:val="21"/>
                <w:lang w:val="en-US" w:eastAsia="zh-CN"/>
              </w:rPr>
              <w:t>XXX</w:t>
            </w:r>
            <w:r>
              <w:rPr>
                <w:rFonts w:ascii="宋体" w:hAnsi="宋体" w:cs="宋体"/>
                <w:szCs w:val="21"/>
              </w:rPr>
              <w:t xml:space="preserve"> </w:t>
            </w:r>
          </w:p>
          <w:p w14:paraId="3528152B">
            <w:pPr>
              <w:spacing w:line="360" w:lineRule="auto"/>
              <w:rPr>
                <w:rFonts w:hint="default" w:eastAsia="宋体"/>
                <w:lang w:val="en-US" w:eastAsia="zh-CN"/>
              </w:rPr>
            </w:pPr>
            <w:r>
              <w:rPr>
                <w:rFonts w:hint="eastAsia" w:ascii="宋体" w:hAnsi="宋体" w:cs="宋体"/>
                <w:szCs w:val="21"/>
              </w:rPr>
              <w:t>联系电话：</w:t>
            </w:r>
            <w:r>
              <w:rPr>
                <w:rFonts w:hint="eastAsia" w:ascii="宋体" w:hAnsi="宋体" w:cs="宋体"/>
                <w:szCs w:val="21"/>
                <w:lang w:val="en-US" w:eastAsia="zh-CN"/>
              </w:rPr>
              <w:t>XXXXXXXXXXXXX</w:t>
            </w:r>
          </w:p>
        </w:tc>
      </w:tr>
      <w:tr w14:paraId="1D58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3" w:hRule="atLeast"/>
          <w:jc w:val="center"/>
        </w:trPr>
        <w:tc>
          <w:tcPr>
            <w:tcW w:w="993" w:type="dxa"/>
            <w:vAlign w:val="center"/>
          </w:tcPr>
          <w:p w14:paraId="4BA12F08">
            <w:pPr>
              <w:jc w:val="center"/>
              <w:rPr>
                <w:rFonts w:hint="eastAsia" w:eastAsia="宋体"/>
                <w:lang w:eastAsia="zh-CN"/>
              </w:rPr>
            </w:pPr>
            <w:r>
              <w:t>1.1.</w:t>
            </w:r>
            <w:r>
              <w:rPr>
                <w:rFonts w:hint="eastAsia"/>
                <w:lang w:val="en-US" w:eastAsia="zh-CN"/>
              </w:rPr>
              <w:t>2</w:t>
            </w:r>
          </w:p>
        </w:tc>
        <w:tc>
          <w:tcPr>
            <w:tcW w:w="2511" w:type="dxa"/>
            <w:shd w:val="clear" w:color="auto" w:fill="auto"/>
            <w:vAlign w:val="center"/>
          </w:tcPr>
          <w:p w14:paraId="01962D29">
            <w:r>
              <w:rPr>
                <w:rFonts w:hint="eastAsia"/>
              </w:rPr>
              <w:t>招标</w:t>
            </w:r>
            <w:r>
              <w:t>代理机构</w:t>
            </w:r>
          </w:p>
        </w:tc>
        <w:tc>
          <w:tcPr>
            <w:tcW w:w="5568" w:type="dxa"/>
            <w:shd w:val="clear" w:color="auto" w:fill="auto"/>
            <w:vAlign w:val="center"/>
          </w:tcPr>
          <w:p w14:paraId="794F3CE8">
            <w:pPr>
              <w:adjustRightInd w:val="0"/>
              <w:snapToGrid w:val="0"/>
              <w:spacing w:line="400" w:lineRule="exact"/>
              <w:rPr>
                <w:rFonts w:ascii="宋体"/>
                <w:bCs/>
                <w:szCs w:val="21"/>
              </w:rPr>
            </w:pPr>
            <w:r>
              <w:rPr>
                <w:rFonts w:hint="eastAsia" w:ascii="宋体"/>
                <w:bCs/>
                <w:szCs w:val="21"/>
              </w:rPr>
              <w:t>名称：</w:t>
            </w:r>
            <w:r>
              <w:rPr>
                <w:rFonts w:hint="eastAsia" w:ascii="宋体"/>
                <w:bCs/>
                <w:szCs w:val="21"/>
                <w:lang w:val="en-US" w:eastAsia="zh-CN"/>
              </w:rPr>
              <w:t>XXXXXXXXXXX</w:t>
            </w:r>
            <w:r>
              <w:rPr>
                <w:rFonts w:hint="eastAsia" w:ascii="宋体"/>
                <w:bCs/>
                <w:szCs w:val="21"/>
              </w:rPr>
              <w:t>有限公司</w:t>
            </w:r>
          </w:p>
          <w:p w14:paraId="6FE08744">
            <w:pPr>
              <w:adjustRightInd w:val="0"/>
              <w:snapToGrid w:val="0"/>
              <w:spacing w:line="460" w:lineRule="exact"/>
              <w:rPr>
                <w:rFonts w:hint="default" w:ascii="宋体" w:eastAsia="宋体"/>
                <w:bCs/>
                <w:szCs w:val="21"/>
                <w:lang w:val="en-US" w:eastAsia="zh-CN"/>
              </w:rPr>
            </w:pPr>
            <w:r>
              <w:rPr>
                <w:rFonts w:hint="eastAsia" w:ascii="宋体"/>
                <w:bCs/>
                <w:szCs w:val="21"/>
              </w:rPr>
              <w:t>地  址：</w:t>
            </w:r>
            <w:r>
              <w:rPr>
                <w:rFonts w:hint="eastAsia" w:ascii="宋体"/>
                <w:bCs/>
                <w:szCs w:val="21"/>
                <w:lang w:val="en-US" w:eastAsia="zh-CN"/>
              </w:rPr>
              <w:t>XXXXXXXXXXXX</w:t>
            </w:r>
          </w:p>
          <w:p w14:paraId="13B2322B">
            <w:pPr>
              <w:adjustRightInd w:val="0"/>
              <w:snapToGrid w:val="0"/>
              <w:spacing w:line="460" w:lineRule="exact"/>
              <w:rPr>
                <w:rFonts w:hint="default" w:ascii="宋体" w:eastAsia="宋体"/>
                <w:bCs/>
                <w:szCs w:val="21"/>
                <w:lang w:val="en-US" w:eastAsia="zh-CN"/>
              </w:rPr>
            </w:pPr>
            <w:r>
              <w:rPr>
                <w:rFonts w:hint="eastAsia" w:ascii="宋体"/>
                <w:bCs/>
                <w:szCs w:val="21"/>
              </w:rPr>
              <w:t>联系人：</w:t>
            </w:r>
            <w:r>
              <w:rPr>
                <w:rFonts w:hint="eastAsia" w:ascii="宋体"/>
                <w:bCs/>
                <w:szCs w:val="21"/>
                <w:lang w:val="en-US" w:eastAsia="zh-CN"/>
              </w:rPr>
              <w:t>XXXXXXXX</w:t>
            </w:r>
          </w:p>
          <w:p w14:paraId="363B55D7">
            <w:pPr>
              <w:adjustRightInd w:val="0"/>
              <w:snapToGrid w:val="0"/>
              <w:spacing w:line="460" w:lineRule="exact"/>
              <w:rPr>
                <w:rFonts w:ascii="宋体" w:hAnsi="宋体"/>
              </w:rPr>
            </w:pPr>
            <w:r>
              <w:rPr>
                <w:rFonts w:hint="eastAsia" w:ascii="宋体"/>
                <w:bCs/>
                <w:szCs w:val="21"/>
              </w:rPr>
              <w:t>联系电话：0518-</w:t>
            </w:r>
            <w:r>
              <w:rPr>
                <w:rFonts w:hint="eastAsia" w:ascii="宋体"/>
                <w:bCs/>
                <w:szCs w:val="21"/>
                <w:lang w:val="en-US" w:eastAsia="zh-CN"/>
              </w:rPr>
              <w:t>XXXXXXXXXXXXXX</w:t>
            </w:r>
            <w:r>
              <w:rPr>
                <w:rFonts w:hint="eastAsia" w:ascii="宋体"/>
                <w:bCs/>
                <w:szCs w:val="21"/>
              </w:rPr>
              <w:t xml:space="preserve"> </w:t>
            </w:r>
          </w:p>
        </w:tc>
      </w:tr>
      <w:tr w14:paraId="3051D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793356A9">
            <w:pPr>
              <w:jc w:val="center"/>
              <w:rPr>
                <w:rFonts w:hint="eastAsia" w:eastAsia="宋体"/>
                <w:lang w:eastAsia="zh-CN"/>
              </w:rPr>
            </w:pPr>
            <w:r>
              <w:t>1.1.</w:t>
            </w:r>
            <w:r>
              <w:rPr>
                <w:rFonts w:hint="eastAsia"/>
                <w:lang w:val="en-US" w:eastAsia="zh-CN"/>
              </w:rPr>
              <w:t>3</w:t>
            </w:r>
          </w:p>
        </w:tc>
        <w:tc>
          <w:tcPr>
            <w:tcW w:w="2511" w:type="dxa"/>
            <w:shd w:val="clear" w:color="auto" w:fill="auto"/>
            <w:vAlign w:val="center"/>
          </w:tcPr>
          <w:p w14:paraId="41908156">
            <w:r>
              <w:t>项目名称</w:t>
            </w:r>
          </w:p>
        </w:tc>
        <w:tc>
          <w:tcPr>
            <w:tcW w:w="5568" w:type="dxa"/>
            <w:shd w:val="clear" w:color="auto" w:fill="auto"/>
            <w:vAlign w:val="center"/>
          </w:tcPr>
          <w:p w14:paraId="5FBEA877">
            <w:pPr>
              <w:rPr>
                <w:rFonts w:hint="default" w:eastAsia="宋体"/>
                <w:lang w:val="en-US" w:eastAsia="zh-CN"/>
              </w:rPr>
            </w:pPr>
            <w:r>
              <w:rPr>
                <w:rFonts w:hint="eastAsia" w:ascii="宋体" w:hAnsi="宋体" w:cs="Courier New"/>
                <w:bCs/>
                <w:szCs w:val="21"/>
                <w:lang w:val="en-US" w:eastAsia="zh-CN"/>
              </w:rPr>
              <w:t>XXXXXXXXXXXXXX</w:t>
            </w:r>
          </w:p>
        </w:tc>
      </w:tr>
      <w:tr w14:paraId="55F03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4DB7735E">
            <w:pPr>
              <w:jc w:val="center"/>
            </w:pPr>
            <w:r>
              <w:t>1.2.1</w:t>
            </w:r>
          </w:p>
        </w:tc>
        <w:tc>
          <w:tcPr>
            <w:tcW w:w="2511" w:type="dxa"/>
            <w:vAlign w:val="center"/>
          </w:tcPr>
          <w:p w14:paraId="11D1CCF2">
            <w:r>
              <w:t>资金来源</w:t>
            </w:r>
          </w:p>
        </w:tc>
        <w:tc>
          <w:tcPr>
            <w:tcW w:w="5568" w:type="dxa"/>
            <w:vAlign w:val="center"/>
          </w:tcPr>
          <w:p w14:paraId="38B013B1">
            <w:r>
              <w:rPr>
                <w:rFonts w:hint="eastAsia" w:ascii="宋体" w:hAnsi="宋体"/>
                <w:szCs w:val="21"/>
              </w:rPr>
              <w:t xml:space="preserve">自筹资金 </w:t>
            </w:r>
          </w:p>
        </w:tc>
      </w:tr>
      <w:tr w14:paraId="5A2C6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7B1A41F3">
            <w:pPr>
              <w:jc w:val="center"/>
            </w:pPr>
            <w:r>
              <w:t>1.2.</w:t>
            </w:r>
            <w:r>
              <w:rPr>
                <w:rFonts w:hint="eastAsia"/>
              </w:rPr>
              <w:t>2</w:t>
            </w:r>
          </w:p>
        </w:tc>
        <w:tc>
          <w:tcPr>
            <w:tcW w:w="2511" w:type="dxa"/>
            <w:vAlign w:val="center"/>
          </w:tcPr>
          <w:p w14:paraId="3960FD5D">
            <w:r>
              <w:t>资金落实情况</w:t>
            </w:r>
          </w:p>
        </w:tc>
        <w:tc>
          <w:tcPr>
            <w:tcW w:w="5568" w:type="dxa"/>
            <w:vAlign w:val="center"/>
          </w:tcPr>
          <w:p w14:paraId="58E4BCD0">
            <w:r>
              <w:rPr>
                <w:rFonts w:hint="eastAsia" w:ascii="宋体" w:hAnsi="宋体"/>
                <w:szCs w:val="21"/>
              </w:rPr>
              <w:t>已落实</w:t>
            </w:r>
          </w:p>
        </w:tc>
      </w:tr>
      <w:tr w14:paraId="1B565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993" w:type="dxa"/>
            <w:vAlign w:val="center"/>
          </w:tcPr>
          <w:p w14:paraId="740D2DA0">
            <w:pPr>
              <w:jc w:val="center"/>
            </w:pPr>
            <w:r>
              <w:t>1.3.1</w:t>
            </w:r>
          </w:p>
        </w:tc>
        <w:tc>
          <w:tcPr>
            <w:tcW w:w="2511" w:type="dxa"/>
            <w:vAlign w:val="center"/>
          </w:tcPr>
          <w:p w14:paraId="389C544D">
            <w:r>
              <w:rPr>
                <w:rFonts w:hint="eastAsia"/>
              </w:rPr>
              <w:t>招标</w:t>
            </w:r>
            <w:r>
              <w:t>范围</w:t>
            </w:r>
          </w:p>
        </w:tc>
        <w:tc>
          <w:tcPr>
            <w:tcW w:w="5568" w:type="dxa"/>
            <w:vAlign w:val="center"/>
          </w:tcPr>
          <w:p w14:paraId="605AED81">
            <w:pPr>
              <w:rPr>
                <w:u w:val="single"/>
              </w:rPr>
            </w:pPr>
            <w:r>
              <w:rPr>
                <w:rFonts w:hint="eastAsia" w:ascii="宋体"/>
                <w:bCs/>
                <w:szCs w:val="21"/>
                <w:lang w:val="en-US" w:eastAsia="zh-CN"/>
              </w:rPr>
              <w:t>XXXXXXXXXXXXXXX</w:t>
            </w:r>
            <w:r>
              <w:rPr>
                <w:rFonts w:hint="eastAsia" w:ascii="宋体"/>
                <w:szCs w:val="21"/>
                <w:highlight w:val="yellow"/>
              </w:rPr>
              <w:t>。</w:t>
            </w:r>
          </w:p>
        </w:tc>
      </w:tr>
      <w:tr w14:paraId="317D2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5B708EE0">
            <w:pPr>
              <w:jc w:val="center"/>
            </w:pPr>
            <w:r>
              <w:t>1.3.2</w:t>
            </w:r>
          </w:p>
        </w:tc>
        <w:tc>
          <w:tcPr>
            <w:tcW w:w="2511" w:type="dxa"/>
            <w:vAlign w:val="center"/>
          </w:tcPr>
          <w:p w14:paraId="08261214">
            <w:pPr>
              <w:rPr>
                <w:color w:val="FF0000"/>
              </w:rPr>
            </w:pPr>
            <w:r>
              <w:rPr>
                <w:rFonts w:hint="eastAsia"/>
                <w:color w:val="FF0000"/>
                <w:szCs w:val="21"/>
              </w:rPr>
              <w:t>服务周期</w:t>
            </w:r>
          </w:p>
        </w:tc>
        <w:tc>
          <w:tcPr>
            <w:tcW w:w="5568" w:type="dxa"/>
            <w:vAlign w:val="center"/>
          </w:tcPr>
          <w:p w14:paraId="37902F8E">
            <w:pPr>
              <w:rPr>
                <w:color w:val="FF0000"/>
              </w:rPr>
            </w:pPr>
            <w:r>
              <w:rPr>
                <w:rFonts w:hint="eastAsia" w:ascii="宋体"/>
                <w:color w:val="FF0000"/>
                <w:szCs w:val="21"/>
                <w:highlight w:val="yellow"/>
              </w:rPr>
              <w:t>与施工工期同步，从项目进场施工开始直至竣工验收全过程跟踪审计、工程竣工结算审核（一审），随工程建设进度完成项目审计并出具完整审计报告，移交全部审计资料至招标人为止。</w:t>
            </w:r>
          </w:p>
        </w:tc>
      </w:tr>
      <w:tr w14:paraId="7B55B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2A45B74C">
            <w:pPr>
              <w:jc w:val="center"/>
            </w:pPr>
            <w:r>
              <w:t>1.3.3</w:t>
            </w:r>
          </w:p>
        </w:tc>
        <w:tc>
          <w:tcPr>
            <w:tcW w:w="2511" w:type="dxa"/>
            <w:vAlign w:val="center"/>
          </w:tcPr>
          <w:p w14:paraId="4F95B7A0">
            <w:r>
              <w:rPr>
                <w:rFonts w:hint="eastAsia"/>
              </w:rPr>
              <w:t>项目</w:t>
            </w:r>
            <w:r>
              <w:t>地点</w:t>
            </w:r>
          </w:p>
        </w:tc>
        <w:tc>
          <w:tcPr>
            <w:tcW w:w="5568" w:type="dxa"/>
            <w:vAlign w:val="center"/>
          </w:tcPr>
          <w:p w14:paraId="3DB246DF">
            <w:r>
              <w:rPr>
                <w:rFonts w:hint="eastAsia" w:ascii="宋体" w:hAnsi="宋体"/>
                <w:szCs w:val="21"/>
              </w:rPr>
              <w:t>连云港市赣榆区</w:t>
            </w:r>
          </w:p>
        </w:tc>
      </w:tr>
      <w:tr w14:paraId="3370A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22B53B9E">
            <w:pPr>
              <w:jc w:val="center"/>
            </w:pPr>
            <w:r>
              <w:t>1.3.4</w:t>
            </w:r>
          </w:p>
        </w:tc>
        <w:tc>
          <w:tcPr>
            <w:tcW w:w="2511" w:type="dxa"/>
            <w:vAlign w:val="center"/>
          </w:tcPr>
          <w:p w14:paraId="1DBCE89A">
            <w:r>
              <w:t>质量</w:t>
            </w:r>
            <w:r>
              <w:rPr>
                <w:rFonts w:hint="eastAsia"/>
              </w:rPr>
              <w:t>要求及验收标准</w:t>
            </w:r>
          </w:p>
        </w:tc>
        <w:tc>
          <w:tcPr>
            <w:tcW w:w="5568" w:type="dxa"/>
            <w:vAlign w:val="center"/>
          </w:tcPr>
          <w:p w14:paraId="73342B5E">
            <w:r>
              <w:rPr>
                <w:rFonts w:hint="eastAsia"/>
              </w:rPr>
              <w:t>合格；</w:t>
            </w:r>
            <w:r>
              <w:rPr>
                <w:rFonts w:hint="eastAsia" w:ascii="宋体" w:hAnsi="宋体"/>
                <w:szCs w:val="21"/>
              </w:rPr>
              <w:t>须通过招标人及相关部门的审查。</w:t>
            </w:r>
          </w:p>
        </w:tc>
      </w:tr>
      <w:tr w14:paraId="27956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0343ADF8">
            <w:pPr>
              <w:jc w:val="center"/>
            </w:pPr>
            <w:r>
              <w:t>1.4.1</w:t>
            </w:r>
          </w:p>
        </w:tc>
        <w:tc>
          <w:tcPr>
            <w:tcW w:w="2511" w:type="dxa"/>
            <w:vAlign w:val="center"/>
          </w:tcPr>
          <w:p w14:paraId="5675A436">
            <w:r>
              <w:rPr>
                <w:rFonts w:hint="eastAsia"/>
              </w:rPr>
              <w:t>投标人</w:t>
            </w:r>
            <w:r>
              <w:t>资格要求</w:t>
            </w:r>
          </w:p>
        </w:tc>
        <w:tc>
          <w:tcPr>
            <w:tcW w:w="5568" w:type="dxa"/>
            <w:vAlign w:val="center"/>
          </w:tcPr>
          <w:p w14:paraId="7A299065">
            <w:r>
              <w:rPr>
                <w:rFonts w:hint="eastAsia"/>
              </w:rPr>
              <w:t>见招标公告</w:t>
            </w:r>
          </w:p>
        </w:tc>
      </w:tr>
      <w:tr w14:paraId="1ED52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93" w:type="dxa"/>
            <w:vAlign w:val="center"/>
          </w:tcPr>
          <w:p w14:paraId="2ADB9326">
            <w:pPr>
              <w:jc w:val="center"/>
            </w:pPr>
            <w:r>
              <w:t>1.4.2</w:t>
            </w:r>
          </w:p>
        </w:tc>
        <w:tc>
          <w:tcPr>
            <w:tcW w:w="2511" w:type="dxa"/>
            <w:vAlign w:val="center"/>
          </w:tcPr>
          <w:p w14:paraId="44A8D8CB">
            <w:r>
              <w:t>是否接受联合体投标</w:t>
            </w:r>
          </w:p>
        </w:tc>
        <w:tc>
          <w:tcPr>
            <w:tcW w:w="5568" w:type="dxa"/>
            <w:vAlign w:val="center"/>
          </w:tcPr>
          <w:p w14:paraId="1C91C23C">
            <w:pPr>
              <w:rPr>
                <w:kern w:val="0"/>
              </w:rPr>
            </w:pPr>
            <w:r>
              <w:rPr>
                <w:rFonts w:hint="eastAsia"/>
              </w:rPr>
              <w:t>见招标公告</w:t>
            </w:r>
          </w:p>
        </w:tc>
      </w:tr>
      <w:tr w14:paraId="52409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93" w:type="dxa"/>
            <w:vAlign w:val="center"/>
          </w:tcPr>
          <w:p w14:paraId="7331CADE">
            <w:pPr>
              <w:jc w:val="center"/>
              <w:rPr>
                <w:rFonts w:ascii="宋体" w:hAnsi="宋体"/>
                <w:b/>
              </w:rPr>
            </w:pPr>
            <w:r>
              <w:rPr>
                <w:rFonts w:hint="eastAsia" w:ascii="宋体" w:hAnsi="宋体"/>
              </w:rPr>
              <w:t>1.</w:t>
            </w:r>
            <w:r>
              <w:rPr>
                <w:rFonts w:hint="eastAsia" w:ascii="宋体" w:hAnsi="宋体"/>
                <w:lang w:val="en-US" w:eastAsia="zh-CN"/>
              </w:rPr>
              <w:t>5</w:t>
            </w:r>
            <w:r>
              <w:rPr>
                <w:rFonts w:hint="eastAsia" w:ascii="宋体" w:hAnsi="宋体"/>
              </w:rPr>
              <w:t>.1</w:t>
            </w:r>
          </w:p>
        </w:tc>
        <w:tc>
          <w:tcPr>
            <w:tcW w:w="2511" w:type="dxa"/>
            <w:vAlign w:val="center"/>
          </w:tcPr>
          <w:p w14:paraId="58408C1A">
            <w:pPr>
              <w:rPr>
                <w:rFonts w:ascii="宋体" w:hAnsi="宋体"/>
                <w:b/>
              </w:rPr>
            </w:pPr>
            <w:r>
              <w:rPr>
                <w:rFonts w:hint="eastAsia" w:ascii="宋体" w:cs="宋体"/>
                <w:kern w:val="0"/>
              </w:rPr>
              <w:t>踏勘现场</w:t>
            </w:r>
          </w:p>
        </w:tc>
        <w:tc>
          <w:tcPr>
            <w:tcW w:w="5568" w:type="dxa"/>
            <w:vAlign w:val="center"/>
          </w:tcPr>
          <w:p w14:paraId="3F4B9930">
            <w:pPr>
              <w:rPr>
                <w:rFonts w:ascii="宋体" w:hAnsi="宋体"/>
                <w:b/>
                <w:u w:val="single"/>
              </w:rPr>
            </w:pPr>
            <w:r>
              <w:rPr>
                <w:rFonts w:hint="eastAsia" w:ascii="宋体" w:hAnsi="宋体"/>
                <w:szCs w:val="21"/>
              </w:rPr>
              <w:t>投标人自行踏勘</w:t>
            </w:r>
            <w:r>
              <w:rPr>
                <w:rFonts w:hint="eastAsia" w:ascii="宋体" w:hAnsi="TimesNewRomanPSMT" w:cs="宋体"/>
                <w:kern w:val="0"/>
              </w:rPr>
              <w:t xml:space="preserve"> </w:t>
            </w:r>
          </w:p>
        </w:tc>
      </w:tr>
      <w:tr w14:paraId="25D30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93" w:type="dxa"/>
            <w:vAlign w:val="center"/>
          </w:tcPr>
          <w:p w14:paraId="1299C941">
            <w:pPr>
              <w:jc w:val="center"/>
              <w:rPr>
                <w:rFonts w:hint="default" w:eastAsia="宋体"/>
                <w:lang w:val="en-US" w:eastAsia="zh-CN"/>
              </w:rPr>
            </w:pPr>
            <w:r>
              <w:t>1.</w:t>
            </w:r>
            <w:r>
              <w:rPr>
                <w:rFonts w:hint="eastAsia"/>
                <w:lang w:val="en-US" w:eastAsia="zh-CN"/>
              </w:rPr>
              <w:t>6.1</w:t>
            </w:r>
          </w:p>
        </w:tc>
        <w:tc>
          <w:tcPr>
            <w:tcW w:w="2511" w:type="dxa"/>
            <w:vAlign w:val="center"/>
          </w:tcPr>
          <w:p w14:paraId="30CA865A">
            <w:r>
              <w:t>投标预备会</w:t>
            </w:r>
          </w:p>
        </w:tc>
        <w:tc>
          <w:tcPr>
            <w:tcW w:w="5568" w:type="dxa"/>
            <w:vAlign w:val="center"/>
          </w:tcPr>
          <w:p w14:paraId="6490E5F6">
            <w:r>
              <w:t>不召开</w:t>
            </w:r>
          </w:p>
        </w:tc>
      </w:tr>
      <w:tr w14:paraId="2FC96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jc w:val="center"/>
        </w:trPr>
        <w:tc>
          <w:tcPr>
            <w:tcW w:w="993" w:type="dxa"/>
            <w:vAlign w:val="center"/>
          </w:tcPr>
          <w:p w14:paraId="2B087E0D">
            <w:pPr>
              <w:jc w:val="center"/>
              <w:rPr>
                <w:rFonts w:ascii="宋体" w:hAnsi="宋体" w:cs="宋体"/>
                <w:szCs w:val="21"/>
              </w:rPr>
            </w:pPr>
            <w:r>
              <w:rPr>
                <w:rFonts w:hint="eastAsia"/>
              </w:rPr>
              <w:t>2.1.1</w:t>
            </w:r>
          </w:p>
        </w:tc>
        <w:tc>
          <w:tcPr>
            <w:tcW w:w="2511" w:type="dxa"/>
            <w:vAlign w:val="center"/>
          </w:tcPr>
          <w:p w14:paraId="7FD8878B">
            <w:pPr>
              <w:rPr>
                <w:rFonts w:ascii="宋体" w:hAnsi="宋体" w:cs="宋体"/>
                <w:kern w:val="0"/>
                <w:szCs w:val="21"/>
              </w:rPr>
            </w:pPr>
            <w:r>
              <w:rPr>
                <w:rFonts w:hint="eastAsia" w:ascii="宋体" w:hAnsi="宋体" w:cs="宋体"/>
                <w:kern w:val="0"/>
                <w:szCs w:val="21"/>
              </w:rPr>
              <w:t>构成招标文件的其它材料</w:t>
            </w:r>
          </w:p>
        </w:tc>
        <w:tc>
          <w:tcPr>
            <w:tcW w:w="5568" w:type="dxa"/>
            <w:vAlign w:val="center"/>
          </w:tcPr>
          <w:p w14:paraId="30D4E2FF">
            <w:pPr>
              <w:rPr>
                <w:rFonts w:ascii="宋体"/>
                <w:szCs w:val="21"/>
              </w:rPr>
            </w:pPr>
            <w:r>
              <w:rPr>
                <w:rFonts w:hint="eastAsia" w:ascii="宋体"/>
                <w:szCs w:val="21"/>
              </w:rPr>
              <w:t>除招标文件外，招标人在招标期间发出的答疑纪要和其他补充修改函件，均是招标文件的组成部分，对投标人起约束作用；</w:t>
            </w:r>
          </w:p>
          <w:p w14:paraId="72152215">
            <w:pPr>
              <w:rPr>
                <w:rFonts w:ascii="宋体" w:hAnsi="宋体"/>
                <w:kern w:val="0"/>
              </w:rPr>
            </w:pPr>
          </w:p>
        </w:tc>
      </w:tr>
      <w:tr w14:paraId="61206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93" w:type="dxa"/>
            <w:vAlign w:val="center"/>
          </w:tcPr>
          <w:p w14:paraId="5D06A50F">
            <w:pPr>
              <w:jc w:val="center"/>
            </w:pPr>
            <w:r>
              <w:t>2.2.1</w:t>
            </w:r>
          </w:p>
        </w:tc>
        <w:tc>
          <w:tcPr>
            <w:tcW w:w="2511" w:type="dxa"/>
            <w:vAlign w:val="center"/>
          </w:tcPr>
          <w:p w14:paraId="62F70903">
            <w:r>
              <w:rPr>
                <w:rFonts w:hint="eastAsia"/>
              </w:rPr>
              <w:t>投标人要求澄清招标文件截至时间</w:t>
            </w:r>
          </w:p>
        </w:tc>
        <w:tc>
          <w:tcPr>
            <w:tcW w:w="5568" w:type="dxa"/>
            <w:vAlign w:val="center"/>
          </w:tcPr>
          <w:p w14:paraId="3A21ACC1">
            <w:pPr>
              <w:rPr>
                <w:rFonts w:ascii="宋体"/>
                <w:szCs w:val="21"/>
              </w:rPr>
            </w:pPr>
            <w:r>
              <w:rPr>
                <w:rFonts w:hint="eastAsia" w:ascii="宋体"/>
                <w:szCs w:val="21"/>
              </w:rPr>
              <w:t>（1）投标人提交要求澄清文件的方式：通过电子招标投标交易平台进行</w:t>
            </w:r>
          </w:p>
          <w:p w14:paraId="38ED3AD6">
            <w:pPr>
              <w:rPr>
                <w:rFonts w:ascii="宋体"/>
                <w:szCs w:val="21"/>
              </w:rPr>
            </w:pPr>
            <w:r>
              <w:rPr>
                <w:rFonts w:hint="eastAsia" w:ascii="宋体"/>
                <w:szCs w:val="21"/>
              </w:rPr>
              <w:t>（2）要求澄清招标文件的截止时间：投标人获取招标文件后，应仔细检查招标文件的所有内容，如有残缺等问题应在获得招标文件</w:t>
            </w:r>
            <w:r>
              <w:rPr>
                <w:rFonts w:hint="eastAsia" w:ascii="宋体"/>
                <w:szCs w:val="21"/>
                <w:lang w:val="en-US" w:eastAsia="zh-CN"/>
              </w:rPr>
              <w:t>1</w:t>
            </w:r>
            <w:r>
              <w:rPr>
                <w:rFonts w:hint="eastAsia" w:ascii="宋体"/>
                <w:szCs w:val="21"/>
              </w:rPr>
              <w:t>日内向招标人提出，以便补齐。如有疑问需要澄清，应于投标文件递交截止时间</w:t>
            </w:r>
            <w:r>
              <w:rPr>
                <w:rFonts w:hint="eastAsia" w:ascii="宋体"/>
                <w:szCs w:val="21"/>
                <w:lang w:val="en-US" w:eastAsia="zh-CN"/>
              </w:rPr>
              <w:t>1</w:t>
            </w:r>
            <w:r>
              <w:rPr>
                <w:rFonts w:hint="eastAsia" w:ascii="宋体"/>
                <w:szCs w:val="21"/>
              </w:rPr>
              <w:t>日前向招标人提出。</w:t>
            </w:r>
          </w:p>
          <w:p w14:paraId="7FF6EB98">
            <w:pPr>
              <w:rPr>
                <w:rFonts w:ascii="宋体"/>
                <w:szCs w:val="21"/>
              </w:rPr>
            </w:pPr>
            <w:r>
              <w:rPr>
                <w:rFonts w:hint="eastAsia" w:ascii="宋体"/>
                <w:szCs w:val="21"/>
              </w:rPr>
              <w:t>（3）招标人对招标文件</w:t>
            </w:r>
            <w:r>
              <w:rPr>
                <w:rFonts w:ascii="宋体"/>
                <w:szCs w:val="21"/>
              </w:rPr>
              <w:t>澄清</w:t>
            </w:r>
            <w:r>
              <w:rPr>
                <w:rFonts w:hint="eastAsia" w:ascii="宋体"/>
                <w:szCs w:val="21"/>
              </w:rPr>
              <w:t>、修改</w:t>
            </w:r>
            <w:r>
              <w:rPr>
                <w:rFonts w:ascii="宋体"/>
                <w:szCs w:val="21"/>
              </w:rPr>
              <w:t>时间</w:t>
            </w:r>
            <w:r>
              <w:rPr>
                <w:rFonts w:hint="eastAsia" w:ascii="宋体"/>
                <w:szCs w:val="21"/>
              </w:rPr>
              <w:t>: 招标文件发出后，在提交投标文件截止时间</w:t>
            </w:r>
            <w:r>
              <w:rPr>
                <w:rFonts w:hint="eastAsia" w:ascii="宋体"/>
                <w:szCs w:val="21"/>
                <w:lang w:val="en-US" w:eastAsia="zh-CN"/>
              </w:rPr>
              <w:t>3</w:t>
            </w:r>
            <w:r>
              <w:rPr>
                <w:rFonts w:hint="eastAsia" w:ascii="宋体"/>
                <w:szCs w:val="21"/>
              </w:rPr>
              <w:t>日前，招标人可对招标文件进行必要的澄清或修改。</w:t>
            </w:r>
          </w:p>
          <w:p w14:paraId="3EB92DD7">
            <w:pPr>
              <w:rPr>
                <w:rFonts w:ascii="宋体" w:hAnsi="宋体" w:cs="Arial"/>
                <w:szCs w:val="21"/>
                <w:u w:val="single"/>
              </w:rPr>
            </w:pPr>
            <w:r>
              <w:rPr>
                <w:rFonts w:hint="eastAsia" w:ascii="宋体"/>
                <w:szCs w:val="21"/>
              </w:rPr>
              <w:t>（4）招标人发送澄清的方式：通过江苏苏海投资集团有限公司集采平台</w:t>
            </w:r>
            <w:r>
              <w:rPr>
                <w:rFonts w:hint="eastAsia" w:ascii="宋体" w:hAnsi="宋体" w:cs="Arial"/>
                <w:szCs w:val="21"/>
              </w:rPr>
              <w:t xml:space="preserve"> </w:t>
            </w:r>
          </w:p>
        </w:tc>
      </w:tr>
      <w:tr w14:paraId="7D31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993" w:type="dxa"/>
            <w:vAlign w:val="center"/>
          </w:tcPr>
          <w:p w14:paraId="32662697">
            <w:pPr>
              <w:jc w:val="center"/>
              <w:rPr>
                <w:rFonts w:hint="eastAsia" w:eastAsia="宋体"/>
                <w:lang w:val="en-US" w:eastAsia="zh-CN"/>
              </w:rPr>
            </w:pPr>
            <w:r>
              <w:t>2.2.</w:t>
            </w:r>
            <w:r>
              <w:rPr>
                <w:rFonts w:hint="eastAsia"/>
                <w:lang w:val="en-US" w:eastAsia="zh-CN"/>
              </w:rPr>
              <w:t>2</w:t>
            </w:r>
          </w:p>
        </w:tc>
        <w:tc>
          <w:tcPr>
            <w:tcW w:w="2511" w:type="dxa"/>
            <w:vAlign w:val="center"/>
          </w:tcPr>
          <w:p w14:paraId="13E33391">
            <w:r>
              <w:rPr>
                <w:rFonts w:hint="eastAsia"/>
              </w:rPr>
              <w:t>投标人</w:t>
            </w:r>
            <w:r>
              <w:t>确认收到</w:t>
            </w:r>
            <w:r>
              <w:rPr>
                <w:rFonts w:hint="eastAsia"/>
              </w:rPr>
              <w:t>招标文件</w:t>
            </w:r>
            <w:r>
              <w:t>澄清时间</w:t>
            </w:r>
          </w:p>
        </w:tc>
        <w:tc>
          <w:tcPr>
            <w:tcW w:w="5568" w:type="dxa"/>
            <w:vAlign w:val="center"/>
          </w:tcPr>
          <w:p w14:paraId="0E3E0ACF">
            <w:pPr>
              <w:spacing w:line="360" w:lineRule="auto"/>
              <w:rPr>
                <w:u w:val="single"/>
              </w:rPr>
            </w:pPr>
            <w:r>
              <w:rPr>
                <w:rFonts w:hint="eastAsia" w:ascii="宋体"/>
                <w:szCs w:val="21"/>
              </w:rPr>
              <w:t>本次招标的招标文件及后续答疑、澄清及补充文件均以电子招标投标交易平台发布。</w:t>
            </w:r>
          </w:p>
        </w:tc>
      </w:tr>
      <w:tr w14:paraId="42AD3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93" w:type="dxa"/>
            <w:vAlign w:val="center"/>
          </w:tcPr>
          <w:p w14:paraId="6B0E5DE5">
            <w:pPr>
              <w:jc w:val="center"/>
            </w:pPr>
            <w:r>
              <w:rPr>
                <w:rFonts w:hint="eastAsia"/>
              </w:rPr>
              <w:t>3.1.1</w:t>
            </w:r>
          </w:p>
        </w:tc>
        <w:tc>
          <w:tcPr>
            <w:tcW w:w="2511" w:type="dxa"/>
            <w:vAlign w:val="center"/>
          </w:tcPr>
          <w:p w14:paraId="2135081D">
            <w:r>
              <w:rPr>
                <w:rFonts w:hint="eastAsia"/>
              </w:rPr>
              <w:t>投标文件的组成</w:t>
            </w:r>
          </w:p>
        </w:tc>
        <w:tc>
          <w:tcPr>
            <w:tcW w:w="5568" w:type="dxa"/>
            <w:vAlign w:val="center"/>
          </w:tcPr>
          <w:p w14:paraId="0A8505FF">
            <w:pPr>
              <w:rPr>
                <w:rFonts w:ascii="宋体" w:hAnsi="宋体"/>
              </w:rPr>
            </w:pPr>
            <w:r>
              <w:rPr>
                <w:rFonts w:hint="eastAsia" w:ascii="宋体" w:hAnsi="宋体"/>
              </w:rPr>
              <w:t>投标函及投标函附录</w:t>
            </w:r>
          </w:p>
          <w:p w14:paraId="2C43C9BA">
            <w:pPr>
              <w:rPr>
                <w:rFonts w:ascii="宋体" w:hAnsi="宋体"/>
              </w:rPr>
            </w:pPr>
            <w:r>
              <w:rPr>
                <w:rFonts w:hint="eastAsia" w:ascii="宋体" w:hAnsi="宋体" w:cs="宋体"/>
              </w:rPr>
              <w:t>法定代表人身份证明</w:t>
            </w:r>
          </w:p>
          <w:p w14:paraId="3F9E9FFD">
            <w:pPr>
              <w:rPr>
                <w:rFonts w:ascii="宋体" w:hAnsi="宋体" w:cs="宋体"/>
              </w:rPr>
            </w:pPr>
            <w:r>
              <w:rPr>
                <w:rFonts w:hint="eastAsia" w:ascii="宋体" w:hAnsi="宋体" w:cs="宋体"/>
              </w:rPr>
              <w:t>授权委托书</w:t>
            </w:r>
          </w:p>
          <w:p w14:paraId="436C8853">
            <w:pPr>
              <w:rPr>
                <w:rFonts w:ascii="宋体" w:hAnsi="宋体"/>
                <w:kern w:val="0"/>
              </w:rPr>
            </w:pPr>
            <w:r>
              <w:rPr>
                <w:rFonts w:hint="eastAsia" w:ascii="宋体" w:hAnsi="宋体"/>
                <w:kern w:val="0"/>
              </w:rPr>
              <w:t>投标人承诺书</w:t>
            </w:r>
          </w:p>
          <w:p w14:paraId="35B6A2B5">
            <w:pPr>
              <w:rPr>
                <w:rFonts w:ascii="宋体" w:hAnsi="宋体"/>
                <w:kern w:val="0"/>
              </w:rPr>
            </w:pPr>
            <w:r>
              <w:rPr>
                <w:rFonts w:hint="eastAsia" w:ascii="宋体" w:hAnsi="宋体"/>
                <w:kern w:val="0"/>
              </w:rPr>
              <w:t>资格审查资料</w:t>
            </w:r>
          </w:p>
          <w:p w14:paraId="3A8CC954">
            <w:pPr>
              <w:rPr>
                <w:rFonts w:ascii="宋体" w:hAnsi="宋体"/>
                <w:kern w:val="0"/>
              </w:rPr>
            </w:pPr>
            <w:r>
              <w:rPr>
                <w:rFonts w:hint="eastAsia" w:ascii="宋体" w:hAnsi="宋体"/>
                <w:kern w:val="0"/>
              </w:rPr>
              <w:t>项目组人员、人员驻场服务等情况</w:t>
            </w:r>
          </w:p>
          <w:p w14:paraId="4614719C">
            <w:pPr>
              <w:rPr>
                <w:rFonts w:ascii="宋体" w:hAnsi="宋体"/>
                <w:kern w:val="0"/>
              </w:rPr>
            </w:pPr>
            <w:r>
              <w:rPr>
                <w:rFonts w:hint="eastAsia" w:ascii="宋体" w:hAnsi="宋体"/>
                <w:kern w:val="0"/>
              </w:rPr>
              <w:t>投标人认为所需要的其它资料</w:t>
            </w:r>
          </w:p>
          <w:p w14:paraId="19573C33">
            <w:pPr>
              <w:tabs>
                <w:tab w:val="left" w:pos="0"/>
                <w:tab w:val="left" w:pos="993"/>
                <w:tab w:val="left" w:pos="1134"/>
              </w:tabs>
              <w:snapToGrid w:val="0"/>
              <w:spacing w:line="360" w:lineRule="auto"/>
              <w:rPr>
                <w:rFonts w:ascii="宋体" w:hAnsi="宋体"/>
                <w:b/>
                <w:bCs/>
                <w:kern w:val="0"/>
              </w:rPr>
            </w:pPr>
          </w:p>
        </w:tc>
      </w:tr>
      <w:tr w14:paraId="4B4B2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095BF43E">
            <w:pPr>
              <w:jc w:val="center"/>
              <w:rPr>
                <w:rFonts w:hint="eastAsia" w:eastAsia="宋体"/>
                <w:lang w:eastAsia="zh-CN"/>
              </w:rPr>
            </w:pPr>
            <w:r>
              <w:rPr>
                <w:rFonts w:hint="eastAsia"/>
              </w:rPr>
              <w:t>3.1.</w:t>
            </w:r>
            <w:r>
              <w:rPr>
                <w:rFonts w:hint="eastAsia"/>
                <w:lang w:val="en-US" w:eastAsia="zh-CN"/>
              </w:rPr>
              <w:t>2</w:t>
            </w:r>
          </w:p>
        </w:tc>
        <w:tc>
          <w:tcPr>
            <w:tcW w:w="2511" w:type="dxa"/>
            <w:vAlign w:val="center"/>
          </w:tcPr>
          <w:p w14:paraId="27B5AA8B">
            <w:r>
              <w:rPr>
                <w:rFonts w:hint="eastAsia"/>
              </w:rPr>
              <w:t>须提交核验的资格审查材料</w:t>
            </w:r>
          </w:p>
        </w:tc>
        <w:tc>
          <w:tcPr>
            <w:tcW w:w="5568" w:type="dxa"/>
            <w:vAlign w:val="center"/>
          </w:tcPr>
          <w:p w14:paraId="7F5C5CED">
            <w:pPr>
              <w:numPr>
                <w:ilvl w:val="0"/>
                <w:numId w:val="1"/>
              </w:numPr>
              <w:rPr>
                <w:rFonts w:ascii="宋体" w:hAnsi="宋体" w:cs="宋体"/>
                <w:b/>
                <w:bCs/>
                <w:szCs w:val="21"/>
                <w:highlight w:val="yellow"/>
              </w:rPr>
            </w:pPr>
            <w:r>
              <w:rPr>
                <w:rFonts w:hint="eastAsia" w:ascii="宋体" w:hAnsi="宋体" w:cs="宋体"/>
                <w:b/>
                <w:bCs/>
                <w:szCs w:val="21"/>
                <w:highlight w:val="yellow"/>
              </w:rPr>
              <w:t>营业执照副本</w:t>
            </w:r>
          </w:p>
          <w:p w14:paraId="1565E66A">
            <w:pPr>
              <w:rPr>
                <w:rFonts w:ascii="宋体" w:hAnsi="宋体" w:cs="宋体"/>
                <w:b/>
                <w:bCs/>
                <w:szCs w:val="21"/>
                <w:highlight w:val="yellow"/>
              </w:rPr>
            </w:pPr>
            <w:r>
              <w:rPr>
                <w:rFonts w:hint="eastAsia" w:ascii="宋体" w:hAnsi="宋体" w:cs="宋体"/>
                <w:b/>
                <w:bCs/>
                <w:szCs w:val="21"/>
                <w:highlight w:val="yellow"/>
              </w:rPr>
              <w:t>2、项目负责人资格证书、注册证书</w:t>
            </w:r>
          </w:p>
          <w:p w14:paraId="01451CCB">
            <w:pPr>
              <w:rPr>
                <w:rFonts w:ascii="宋体" w:hAnsi="宋体" w:cs="宋体"/>
                <w:b/>
                <w:bCs/>
                <w:szCs w:val="21"/>
                <w:highlight w:val="yellow"/>
              </w:rPr>
            </w:pPr>
            <w:r>
              <w:rPr>
                <w:rFonts w:hint="eastAsia" w:ascii="宋体" w:hAnsi="宋体" w:cs="宋体"/>
                <w:b/>
                <w:bCs/>
                <w:szCs w:val="21"/>
                <w:highlight w:val="yellow"/>
              </w:rPr>
              <w:t>3、项目负责人本单位缴纳的近6个月社保证明（社保缴纳时间为：202</w:t>
            </w:r>
            <w:r>
              <w:rPr>
                <w:rFonts w:ascii="宋体" w:hAnsi="宋体" w:cs="宋体"/>
                <w:b/>
                <w:bCs/>
                <w:szCs w:val="21"/>
                <w:highlight w:val="yellow"/>
              </w:rPr>
              <w:t>4</w:t>
            </w:r>
            <w:r>
              <w:rPr>
                <w:rFonts w:hint="eastAsia" w:ascii="宋体" w:hAnsi="宋体" w:cs="宋体"/>
                <w:b/>
                <w:bCs/>
                <w:szCs w:val="21"/>
                <w:highlight w:val="yellow"/>
              </w:rPr>
              <w:t>年</w:t>
            </w:r>
            <w:r>
              <w:rPr>
                <w:rFonts w:ascii="宋体" w:hAnsi="宋体" w:cs="宋体"/>
                <w:b/>
                <w:bCs/>
                <w:szCs w:val="21"/>
                <w:highlight w:val="yellow"/>
              </w:rPr>
              <w:t>2</w:t>
            </w:r>
            <w:r>
              <w:rPr>
                <w:rFonts w:hint="eastAsia" w:ascii="宋体" w:hAnsi="宋体" w:cs="宋体"/>
                <w:b/>
                <w:bCs/>
                <w:szCs w:val="21"/>
                <w:highlight w:val="yellow"/>
              </w:rPr>
              <w:t>月-202</w:t>
            </w:r>
            <w:r>
              <w:rPr>
                <w:rFonts w:ascii="宋体" w:hAnsi="宋体" w:cs="宋体"/>
                <w:b/>
                <w:bCs/>
                <w:szCs w:val="21"/>
                <w:highlight w:val="yellow"/>
              </w:rPr>
              <w:t>4</w:t>
            </w:r>
            <w:r>
              <w:rPr>
                <w:rFonts w:hint="eastAsia" w:ascii="宋体" w:hAnsi="宋体" w:cs="宋体"/>
                <w:b/>
                <w:bCs/>
                <w:szCs w:val="21"/>
                <w:highlight w:val="yellow"/>
              </w:rPr>
              <w:t>年</w:t>
            </w:r>
            <w:r>
              <w:rPr>
                <w:rFonts w:ascii="宋体" w:hAnsi="宋体" w:cs="宋体"/>
                <w:b/>
                <w:bCs/>
                <w:szCs w:val="21"/>
                <w:highlight w:val="yellow"/>
              </w:rPr>
              <w:t>7</w:t>
            </w:r>
            <w:r>
              <w:rPr>
                <w:rFonts w:hint="eastAsia" w:ascii="宋体" w:hAnsi="宋体" w:cs="宋体"/>
                <w:b/>
                <w:bCs/>
                <w:szCs w:val="21"/>
                <w:highlight w:val="yellow"/>
              </w:rPr>
              <w:t>月，社会保险缴纳证明必须由社保部门出具并加盖公章或社保部门参保缴费证明电子专用章，没有加盖社保部门公章或电子专用章的，均不予以认可）；</w:t>
            </w:r>
          </w:p>
          <w:p w14:paraId="536E58A2">
            <w:pPr>
              <w:rPr>
                <w:rFonts w:hint="eastAsia" w:ascii="宋体" w:hAnsi="宋体" w:cs="宋体"/>
                <w:b/>
                <w:bCs/>
                <w:szCs w:val="21"/>
              </w:rPr>
            </w:pPr>
            <w:r>
              <w:rPr>
                <w:rFonts w:hint="eastAsia" w:ascii="宋体" w:hAnsi="宋体" w:cs="宋体"/>
                <w:b/>
                <w:bCs/>
                <w:szCs w:val="21"/>
                <w:highlight w:val="yellow"/>
              </w:rPr>
              <w:t>4、法定代表人授权委托书及委托代理人身份证</w:t>
            </w:r>
          </w:p>
        </w:tc>
      </w:tr>
      <w:tr w14:paraId="4B902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93" w:type="dxa"/>
            <w:vAlign w:val="center"/>
          </w:tcPr>
          <w:p w14:paraId="1CB9C786">
            <w:pPr>
              <w:jc w:val="center"/>
              <w:rPr>
                <w:rFonts w:hint="eastAsia" w:eastAsia="宋体"/>
                <w:lang w:eastAsia="zh-CN"/>
              </w:rPr>
            </w:pPr>
            <w:r>
              <w:t>3.2.</w:t>
            </w:r>
            <w:r>
              <w:rPr>
                <w:rFonts w:hint="eastAsia"/>
                <w:lang w:val="en-US" w:eastAsia="zh-CN"/>
              </w:rPr>
              <w:t>1</w:t>
            </w:r>
          </w:p>
        </w:tc>
        <w:tc>
          <w:tcPr>
            <w:tcW w:w="2511" w:type="dxa"/>
            <w:vAlign w:val="center"/>
          </w:tcPr>
          <w:p w14:paraId="1E281C39">
            <w:r>
              <w:t>投标报价</w:t>
            </w:r>
            <w:r>
              <w:rPr>
                <w:rFonts w:hint="eastAsia"/>
              </w:rPr>
              <w:t>要求</w:t>
            </w:r>
          </w:p>
        </w:tc>
        <w:tc>
          <w:tcPr>
            <w:tcW w:w="5568" w:type="dxa"/>
            <w:vAlign w:val="center"/>
          </w:tcPr>
          <w:p w14:paraId="7E3D65B6">
            <w:pPr>
              <w:rPr>
                <w:rFonts w:ascii="宋体" w:hAnsi="宋体" w:cs="宋体"/>
                <w:szCs w:val="21"/>
              </w:rPr>
            </w:pPr>
            <w:r>
              <w:rPr>
                <w:rFonts w:hint="eastAsia" w:ascii="宋体" w:hAnsi="宋体" w:cs="宋体"/>
                <w:szCs w:val="21"/>
              </w:rPr>
              <w:t>投标人的投标报价，应是完成所投项目所有施工阶段、竣工验收与缺陷责任期阶段等全过程的审计工作（包括施工阶段全过程造价控制等审计工作及驻场服务）的投标价。</w:t>
            </w:r>
          </w:p>
          <w:p w14:paraId="3FB8B867">
            <w:pPr>
              <w:rPr>
                <w:rFonts w:ascii="宋体" w:hAnsi="宋体" w:cs="宋体"/>
                <w:szCs w:val="21"/>
              </w:rPr>
            </w:pPr>
            <w:r>
              <w:rPr>
                <w:rFonts w:hint="eastAsia" w:ascii="宋体" w:hAnsi="宋体" w:cs="宋体"/>
                <w:szCs w:val="21"/>
              </w:rPr>
              <w:t>投标报价应视为已包括：人员交通、通讯、人员工资、法定税金、利润等与履行本合同有关的一切费用。</w:t>
            </w:r>
          </w:p>
          <w:p w14:paraId="54C66D29">
            <w:pPr>
              <w:rPr>
                <w:rFonts w:ascii="宋体" w:hAnsi="宋体" w:cs="宋体"/>
                <w:szCs w:val="21"/>
              </w:rPr>
            </w:pPr>
            <w:r>
              <w:rPr>
                <w:rFonts w:hint="eastAsia" w:ascii="宋体" w:hAnsi="宋体" w:cs="宋体"/>
                <w:szCs w:val="21"/>
              </w:rPr>
              <w:t>投标人应根据所投标标段的工程规模及工作难度，按照招标人在委托合同中确定的相关原则、要求及提供的协助，制定人员投入计划(投标人应根据本标段工程情况和有关规范制订必要、合理的人员投入计划，其拟投入现场人员数量应能满足本项目审计工作的要求。</w:t>
            </w:r>
          </w:p>
          <w:p w14:paraId="03CF878F">
            <w:pPr>
              <w:pStyle w:val="16"/>
              <w:rPr>
                <w:rFonts w:hint="eastAsia"/>
                <w:b/>
              </w:rPr>
            </w:pPr>
            <w:r>
              <w:rPr>
                <w:rFonts w:hint="eastAsia"/>
                <w:b/>
              </w:rPr>
              <w:t>本项目仅计取跟踪审计阶段全过程造价控制的基本费和驻场费，竣工结算审核阶段工程结算审核的效益费。</w:t>
            </w:r>
          </w:p>
        </w:tc>
      </w:tr>
      <w:tr w14:paraId="2DE43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74F6C3EA">
            <w:pPr>
              <w:jc w:val="center"/>
              <w:rPr>
                <w:rFonts w:hint="eastAsia" w:eastAsia="宋体"/>
                <w:lang w:eastAsia="zh-CN"/>
              </w:rPr>
            </w:pPr>
            <w:r>
              <w:t>3.2.</w:t>
            </w:r>
            <w:r>
              <w:rPr>
                <w:rFonts w:hint="eastAsia"/>
                <w:lang w:val="en-US" w:eastAsia="zh-CN"/>
              </w:rPr>
              <w:t>2</w:t>
            </w:r>
          </w:p>
        </w:tc>
        <w:tc>
          <w:tcPr>
            <w:tcW w:w="2511" w:type="dxa"/>
            <w:vAlign w:val="center"/>
          </w:tcPr>
          <w:p w14:paraId="39C6D601">
            <w:pPr>
              <w:rPr>
                <w:color w:val="FF0000"/>
              </w:rPr>
            </w:pPr>
            <w:r>
              <w:rPr>
                <w:color w:val="FF0000"/>
              </w:rPr>
              <w:t>最高投标限价</w:t>
            </w:r>
          </w:p>
        </w:tc>
        <w:tc>
          <w:tcPr>
            <w:tcW w:w="5568" w:type="dxa"/>
            <w:vAlign w:val="center"/>
          </w:tcPr>
          <w:p w14:paraId="1C0CB0B8">
            <w:pPr>
              <w:spacing w:line="360" w:lineRule="auto"/>
              <w:rPr>
                <w:color w:val="FF0000"/>
                <w:kern w:val="0"/>
                <w:szCs w:val="21"/>
              </w:rPr>
            </w:pPr>
            <w:r>
              <w:rPr>
                <w:rFonts w:hint="eastAsia"/>
                <w:color w:val="FF0000"/>
                <w:kern w:val="0"/>
                <w:szCs w:val="21"/>
                <w:highlight w:val="yellow"/>
              </w:rPr>
              <w:t>工程建安资暂按1200万元计取，本项目要求按费率报价，全过程跟踪审计及竣工结算审核（一审）：收费不得高于《江苏省工程造价咨询服务收费指导意见》苏建价协(2022)7号收费标准的40%，本项目仅计取跟踪审计阶段全过程造价控制的基本费和驻场费，竣工结算审核阶段工程结算审核的效益费，超过控制价的投标单位将被拒绝。</w:t>
            </w:r>
          </w:p>
        </w:tc>
      </w:tr>
      <w:tr w14:paraId="44472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278BD362">
            <w:pPr>
              <w:jc w:val="center"/>
            </w:pPr>
            <w:r>
              <w:t>3.3.1</w:t>
            </w:r>
          </w:p>
        </w:tc>
        <w:tc>
          <w:tcPr>
            <w:tcW w:w="2511" w:type="dxa"/>
            <w:vAlign w:val="center"/>
          </w:tcPr>
          <w:p w14:paraId="3A392E1E">
            <w:r>
              <w:t>投标有效期</w:t>
            </w:r>
          </w:p>
        </w:tc>
        <w:tc>
          <w:tcPr>
            <w:tcW w:w="5568" w:type="dxa"/>
            <w:vAlign w:val="center"/>
          </w:tcPr>
          <w:p w14:paraId="3EAB14BB">
            <w:r>
              <w:rPr>
                <w:u w:val="single"/>
                <w:lang w:val="zh-CN"/>
              </w:rPr>
              <w:t xml:space="preserve"> </w:t>
            </w:r>
            <w:r>
              <w:rPr>
                <w:rFonts w:hint="eastAsia"/>
                <w:u w:val="single"/>
              </w:rPr>
              <w:t>90</w:t>
            </w:r>
            <w:r>
              <w:rPr>
                <w:u w:val="single"/>
                <w:lang w:val="zh-CN"/>
              </w:rPr>
              <w:t xml:space="preserve"> </w:t>
            </w:r>
            <w:r>
              <w:rPr>
                <w:lang w:val="zh-CN"/>
              </w:rPr>
              <w:t>日（从</w:t>
            </w:r>
            <w:r>
              <w:rPr>
                <w:rFonts w:hint="eastAsia"/>
                <w:szCs w:val="21"/>
              </w:rPr>
              <w:t>投标文件递交截止时间</w:t>
            </w:r>
            <w:r>
              <w:rPr>
                <w:lang w:val="zh-CN"/>
              </w:rPr>
              <w:t>算起）</w:t>
            </w:r>
          </w:p>
        </w:tc>
      </w:tr>
      <w:tr w14:paraId="1098D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93" w:type="dxa"/>
            <w:vAlign w:val="center"/>
          </w:tcPr>
          <w:p w14:paraId="7A08BF85">
            <w:pPr>
              <w:jc w:val="center"/>
            </w:pPr>
            <w:r>
              <w:t>3.4.1</w:t>
            </w:r>
          </w:p>
        </w:tc>
        <w:tc>
          <w:tcPr>
            <w:tcW w:w="2511" w:type="dxa"/>
            <w:vAlign w:val="center"/>
          </w:tcPr>
          <w:p w14:paraId="3CA83D83">
            <w:r>
              <w:t>投标保证金</w:t>
            </w:r>
          </w:p>
        </w:tc>
        <w:tc>
          <w:tcPr>
            <w:tcW w:w="5568" w:type="dxa"/>
            <w:vAlign w:val="center"/>
          </w:tcPr>
          <w:p w14:paraId="1089C6B6">
            <w:pPr>
              <w:adjustRightInd w:val="0"/>
              <w:snapToGrid w:val="0"/>
              <w:spacing w:line="360" w:lineRule="auto"/>
              <w:rPr>
                <w:rFonts w:ascii="宋体" w:hAnsi="宋体" w:cs="宋体"/>
                <w:szCs w:val="21"/>
              </w:rPr>
            </w:pPr>
            <w:r>
              <w:rPr>
                <w:rFonts w:ascii="宋体" w:hAnsi="宋体" w:cs="宋体"/>
                <w:szCs w:val="21"/>
              </w:rPr>
              <w:t>本项目不收取保证金</w:t>
            </w:r>
          </w:p>
        </w:tc>
      </w:tr>
      <w:tr w14:paraId="09964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93" w:type="dxa"/>
            <w:vAlign w:val="center"/>
          </w:tcPr>
          <w:p w14:paraId="5344978C">
            <w:pPr>
              <w:adjustRightInd w:val="0"/>
              <w:snapToGrid w:val="0"/>
              <w:spacing w:line="400" w:lineRule="exact"/>
              <w:jc w:val="center"/>
              <w:rPr>
                <w:bCs/>
              </w:rPr>
            </w:pPr>
            <w:r>
              <w:rPr>
                <w:rFonts w:hint="eastAsia" w:ascii="宋体" w:hAnsi="宋体" w:cs="宋体"/>
                <w:bCs/>
                <w:szCs w:val="21"/>
              </w:rPr>
              <w:t>3.4.1.1</w:t>
            </w:r>
          </w:p>
        </w:tc>
        <w:tc>
          <w:tcPr>
            <w:tcW w:w="2511" w:type="dxa"/>
            <w:vAlign w:val="center"/>
          </w:tcPr>
          <w:p w14:paraId="0976BBD7">
            <w:pPr>
              <w:adjustRightInd w:val="0"/>
              <w:snapToGrid w:val="0"/>
              <w:spacing w:line="400" w:lineRule="exact"/>
              <w:rPr>
                <w:bCs/>
              </w:rPr>
            </w:pPr>
            <w:r>
              <w:rPr>
                <w:rFonts w:hint="eastAsia" w:ascii="宋体" w:hAnsi="宋体" w:cs="宋体"/>
                <w:bCs/>
                <w:szCs w:val="21"/>
              </w:rPr>
              <w:t>投标保证金退还</w:t>
            </w:r>
          </w:p>
        </w:tc>
        <w:tc>
          <w:tcPr>
            <w:tcW w:w="5568" w:type="dxa"/>
            <w:vAlign w:val="center"/>
          </w:tcPr>
          <w:p w14:paraId="41D7A9B4">
            <w:pPr>
              <w:adjustRightInd w:val="0"/>
              <w:snapToGrid w:val="0"/>
              <w:spacing w:line="400" w:lineRule="exact"/>
              <w:rPr>
                <w:rFonts w:ascii="宋体" w:hAnsi="宋体" w:cs="宋体"/>
                <w:b/>
                <w:szCs w:val="21"/>
              </w:rPr>
            </w:pPr>
            <w:r>
              <w:rPr>
                <w:rFonts w:hint="eastAsia" w:ascii="宋体" w:hAnsi="宋体" w:cs="宋体"/>
                <w:b/>
                <w:szCs w:val="21"/>
              </w:rPr>
              <w:t>/</w:t>
            </w:r>
          </w:p>
        </w:tc>
      </w:tr>
      <w:tr w14:paraId="45504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93" w:type="dxa"/>
            <w:vAlign w:val="center"/>
          </w:tcPr>
          <w:p w14:paraId="64930E9C">
            <w:pPr>
              <w:adjustRightInd w:val="0"/>
              <w:snapToGrid w:val="0"/>
              <w:spacing w:line="400" w:lineRule="exact"/>
              <w:jc w:val="center"/>
              <w:rPr>
                <w:bCs/>
              </w:rPr>
            </w:pPr>
            <w:r>
              <w:rPr>
                <w:rFonts w:hint="eastAsia" w:ascii="宋体" w:hAnsi="宋体" w:cs="宋体"/>
                <w:bCs/>
                <w:szCs w:val="21"/>
              </w:rPr>
              <w:t>3.4.1.2</w:t>
            </w:r>
          </w:p>
        </w:tc>
        <w:tc>
          <w:tcPr>
            <w:tcW w:w="2511" w:type="dxa"/>
            <w:vAlign w:val="center"/>
          </w:tcPr>
          <w:p w14:paraId="78A4688F">
            <w:pPr>
              <w:adjustRightInd w:val="0"/>
              <w:snapToGrid w:val="0"/>
              <w:spacing w:line="400" w:lineRule="exact"/>
              <w:rPr>
                <w:bCs/>
              </w:rPr>
            </w:pPr>
            <w:r>
              <w:rPr>
                <w:rFonts w:hint="eastAsia" w:ascii="宋体" w:hAnsi="宋体" w:cs="宋体"/>
                <w:bCs/>
                <w:szCs w:val="21"/>
              </w:rPr>
              <w:t>不予退还情形</w:t>
            </w:r>
          </w:p>
        </w:tc>
        <w:tc>
          <w:tcPr>
            <w:tcW w:w="5568" w:type="dxa"/>
            <w:vAlign w:val="center"/>
          </w:tcPr>
          <w:p w14:paraId="564C39BF">
            <w:pPr>
              <w:spacing w:line="360" w:lineRule="auto"/>
              <w:rPr>
                <w:rFonts w:ascii="宋体" w:cs="宋体"/>
                <w:bCs/>
                <w:kern w:val="0"/>
              </w:rPr>
            </w:pPr>
            <w:r>
              <w:rPr>
                <w:rFonts w:hint="eastAsia" w:ascii="宋体" w:hAnsi="宋体" w:cs="宋体"/>
                <w:bCs/>
                <w:szCs w:val="21"/>
              </w:rPr>
              <w:t>标中、标后被发现存在提供虚假承诺等违法违规行为。</w:t>
            </w:r>
          </w:p>
        </w:tc>
      </w:tr>
      <w:tr w14:paraId="08FE1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93" w:type="dxa"/>
            <w:vAlign w:val="center"/>
          </w:tcPr>
          <w:p w14:paraId="32F5971E">
            <w:pPr>
              <w:jc w:val="center"/>
              <w:rPr>
                <w:rFonts w:hint="default" w:eastAsia="宋体"/>
                <w:lang w:val="en-US" w:eastAsia="zh-CN"/>
              </w:rPr>
            </w:pPr>
            <w:r>
              <w:rPr>
                <w:rFonts w:hint="eastAsia"/>
              </w:rPr>
              <w:t>3.</w:t>
            </w:r>
            <w:r>
              <w:rPr>
                <w:rFonts w:hint="eastAsia"/>
                <w:lang w:val="en-US" w:eastAsia="zh-CN"/>
              </w:rPr>
              <w:t>5.1</w:t>
            </w:r>
          </w:p>
        </w:tc>
        <w:tc>
          <w:tcPr>
            <w:tcW w:w="2511" w:type="dxa"/>
            <w:vAlign w:val="center"/>
          </w:tcPr>
          <w:p w14:paraId="12B335FD">
            <w:r>
              <w:t>是否允许递交备选投标方案</w:t>
            </w:r>
          </w:p>
        </w:tc>
        <w:tc>
          <w:tcPr>
            <w:tcW w:w="5568" w:type="dxa"/>
            <w:vAlign w:val="center"/>
          </w:tcPr>
          <w:p w14:paraId="002AE775">
            <w:r>
              <w:t>不允许</w:t>
            </w:r>
          </w:p>
        </w:tc>
      </w:tr>
      <w:tr w14:paraId="558DD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93" w:type="dxa"/>
            <w:vAlign w:val="center"/>
          </w:tcPr>
          <w:p w14:paraId="17D14C61">
            <w:pPr>
              <w:jc w:val="center"/>
            </w:pPr>
            <w:r>
              <w:rPr>
                <w:rFonts w:hint="eastAsia"/>
              </w:rPr>
              <w:t>3</w:t>
            </w:r>
            <w:r>
              <w:t>.</w:t>
            </w:r>
            <w:r>
              <w:rPr>
                <w:rFonts w:hint="eastAsia"/>
                <w:lang w:val="en-US" w:eastAsia="zh-CN"/>
              </w:rPr>
              <w:t>6</w:t>
            </w:r>
            <w:r>
              <w:t>.1</w:t>
            </w:r>
          </w:p>
        </w:tc>
        <w:tc>
          <w:tcPr>
            <w:tcW w:w="2511" w:type="dxa"/>
            <w:vAlign w:val="center"/>
          </w:tcPr>
          <w:p w14:paraId="536BE272">
            <w:pPr>
              <w:spacing w:line="280" w:lineRule="exact"/>
              <w:jc w:val="center"/>
              <w:rPr>
                <w:rFonts w:ascii="宋体" w:hAnsi="宋体" w:cs="宋体"/>
                <w:szCs w:val="21"/>
              </w:rPr>
            </w:pPr>
            <w:r>
              <w:rPr>
                <w:rFonts w:hint="eastAsia" w:ascii="宋体" w:hAnsi="宋体" w:cs="宋体"/>
                <w:szCs w:val="21"/>
              </w:rPr>
              <w:t>投标文件的份数</w:t>
            </w:r>
          </w:p>
        </w:tc>
        <w:tc>
          <w:tcPr>
            <w:tcW w:w="5568" w:type="dxa"/>
            <w:vAlign w:val="center"/>
          </w:tcPr>
          <w:p w14:paraId="2A032421">
            <w:pPr>
              <w:adjustRightInd w:val="0"/>
              <w:snapToGrid w:val="0"/>
              <w:spacing w:line="400" w:lineRule="exact"/>
              <w:rPr>
                <w:rFonts w:hint="default" w:ascii="宋体" w:hAnsi="宋体" w:eastAsia="宋体" w:cs="宋体"/>
                <w:szCs w:val="21"/>
                <w:lang w:val="en-US" w:eastAsia="zh-CN"/>
              </w:rPr>
            </w:pPr>
            <w:ins w:id="4" w:author="Administrator" w:date="2024-08-19T09:53:54Z">
              <w:r>
                <w:rPr>
                  <w:rFonts w:hint="eastAsia" w:ascii="宋体" w:hAnsi="宋体" w:cs="宋体"/>
                  <w:b w:val="0"/>
                  <w:color w:val="auto"/>
                  <w:kern w:val="0"/>
                  <w:sz w:val="21"/>
                  <w:szCs w:val="21"/>
                </w:rPr>
                <w:t>本</w:t>
              </w:r>
            </w:ins>
            <w:ins w:id="5" w:author="Administrator" w:date="2024-08-19T09:53:54Z">
              <w:r>
                <w:rPr>
                  <w:rFonts w:hint="eastAsia" w:ascii="宋体" w:hAnsi="宋体" w:cs="宋体"/>
                  <w:b w:val="0"/>
                  <w:color w:val="auto"/>
                  <w:kern w:val="0"/>
                  <w:sz w:val="21"/>
                  <w:szCs w:val="21"/>
                  <w:lang w:val="en-US" w:eastAsia="zh-CN"/>
                </w:rPr>
                <w:t>项目</w:t>
              </w:r>
            </w:ins>
            <w:ins w:id="6" w:author="Administrator" w:date="2024-08-19T09:53:54Z">
              <w:r>
                <w:rPr>
                  <w:rFonts w:hint="eastAsia" w:ascii="宋体" w:hAnsi="宋体" w:cs="宋体"/>
                  <w:b w:val="0"/>
                  <w:color w:val="auto"/>
                  <w:kern w:val="0"/>
                  <w:sz w:val="21"/>
                  <w:szCs w:val="21"/>
                </w:rPr>
                <w:t>采用不见面交易模式</w:t>
              </w:r>
            </w:ins>
          </w:p>
        </w:tc>
      </w:tr>
      <w:tr w14:paraId="68316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993" w:type="dxa"/>
            <w:vAlign w:val="center"/>
          </w:tcPr>
          <w:p w14:paraId="3E5D9EDC">
            <w:pPr>
              <w:jc w:val="center"/>
            </w:pPr>
            <w:r>
              <w:t>4.</w:t>
            </w:r>
            <w:r>
              <w:rPr>
                <w:rFonts w:hint="eastAsia"/>
                <w:lang w:val="en-US" w:eastAsia="zh-CN"/>
              </w:rPr>
              <w:t>1</w:t>
            </w:r>
            <w:r>
              <w:t>.1</w:t>
            </w:r>
          </w:p>
        </w:tc>
        <w:tc>
          <w:tcPr>
            <w:tcW w:w="2511" w:type="dxa"/>
            <w:vAlign w:val="center"/>
          </w:tcPr>
          <w:p w14:paraId="28A442B4">
            <w:r>
              <w:rPr>
                <w:rFonts w:hint="eastAsia"/>
              </w:rPr>
              <w:t>投标文件</w:t>
            </w:r>
            <w:r>
              <w:t>递交截止时间</w:t>
            </w:r>
            <w:r>
              <w:rPr>
                <w:rFonts w:hint="eastAsia"/>
              </w:rPr>
              <w:t>和地点</w:t>
            </w:r>
          </w:p>
        </w:tc>
        <w:tc>
          <w:tcPr>
            <w:tcW w:w="5568" w:type="dxa"/>
            <w:vAlign w:val="center"/>
          </w:tcPr>
          <w:p w14:paraId="409FB2A1">
            <w:pPr>
              <w:rPr>
                <w:rFonts w:hint="default" w:eastAsia="宋体"/>
                <w:lang w:val="en-US" w:eastAsia="zh-CN"/>
              </w:rPr>
            </w:pPr>
            <w:r>
              <w:rPr>
                <w:rFonts w:hint="eastAsia"/>
              </w:rPr>
              <w:t>时间：</w:t>
            </w:r>
            <w:r>
              <w:rPr>
                <w:rFonts w:hint="eastAsia"/>
                <w:szCs w:val="21"/>
                <w:highlight w:val="yellow"/>
                <w:lang w:val="en-US" w:eastAsia="zh-CN"/>
              </w:rPr>
              <w:t>2024年8月23日上午10：00时</w:t>
            </w:r>
          </w:p>
          <w:p w14:paraId="4994B004">
            <w:pPr>
              <w:pStyle w:val="13"/>
              <w:ind w:firstLine="0"/>
            </w:pPr>
            <w:r>
              <w:rPr>
                <w:rFonts w:hint="eastAsia" w:ascii="宋体" w:hAnsi="宋体" w:cs="宋体"/>
                <w:b w:val="0"/>
                <w:kern w:val="0"/>
                <w:sz w:val="21"/>
                <w:szCs w:val="21"/>
              </w:rPr>
              <w:t>地点：本</w:t>
            </w:r>
            <w:r>
              <w:rPr>
                <w:rFonts w:hint="eastAsia" w:ascii="宋体" w:hAnsi="宋体" w:cs="宋体"/>
                <w:b w:val="0"/>
                <w:kern w:val="0"/>
                <w:sz w:val="21"/>
                <w:szCs w:val="21"/>
                <w:lang w:val="en-US" w:eastAsia="zh-CN"/>
              </w:rPr>
              <w:t>项目</w:t>
            </w:r>
            <w:r>
              <w:rPr>
                <w:rFonts w:hint="eastAsia" w:ascii="宋体" w:hAnsi="宋体" w:cs="宋体"/>
                <w:b w:val="0"/>
                <w:kern w:val="0"/>
                <w:sz w:val="21"/>
                <w:szCs w:val="21"/>
              </w:rPr>
              <w:t>采用不见面交易模式。</w:t>
            </w:r>
          </w:p>
        </w:tc>
      </w:tr>
      <w:tr w14:paraId="480E8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93" w:type="dxa"/>
            <w:vAlign w:val="center"/>
          </w:tcPr>
          <w:p w14:paraId="4A701DC5">
            <w:pPr>
              <w:jc w:val="center"/>
              <w:rPr>
                <w:rFonts w:hint="eastAsia" w:eastAsia="宋体"/>
                <w:lang w:eastAsia="zh-CN"/>
              </w:rPr>
            </w:pPr>
            <w:r>
              <w:t>4.2.</w:t>
            </w:r>
            <w:r>
              <w:rPr>
                <w:rFonts w:hint="eastAsia"/>
                <w:lang w:val="en-US" w:eastAsia="zh-CN"/>
              </w:rPr>
              <w:t>1</w:t>
            </w:r>
          </w:p>
        </w:tc>
        <w:tc>
          <w:tcPr>
            <w:tcW w:w="2511" w:type="dxa"/>
            <w:vAlign w:val="center"/>
          </w:tcPr>
          <w:p w14:paraId="4A32F0DF">
            <w:r>
              <w:t>是否退还</w:t>
            </w:r>
            <w:r>
              <w:rPr>
                <w:rFonts w:hint="eastAsia"/>
              </w:rPr>
              <w:t>投标文件</w:t>
            </w:r>
          </w:p>
        </w:tc>
        <w:tc>
          <w:tcPr>
            <w:tcW w:w="5568" w:type="dxa"/>
            <w:vAlign w:val="center"/>
          </w:tcPr>
          <w:p w14:paraId="1F4F80D7">
            <w:pPr>
              <w:rPr>
                <w:u w:val="single"/>
              </w:rPr>
            </w:pPr>
            <w:r>
              <w:t>否</w:t>
            </w:r>
          </w:p>
        </w:tc>
      </w:tr>
      <w:tr w14:paraId="23C0A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93" w:type="dxa"/>
            <w:vAlign w:val="center"/>
          </w:tcPr>
          <w:p w14:paraId="71246C8B">
            <w:pPr>
              <w:spacing w:line="276" w:lineRule="auto"/>
              <w:jc w:val="center"/>
            </w:pPr>
            <w:r>
              <w:t>5.1</w:t>
            </w:r>
          </w:p>
        </w:tc>
        <w:tc>
          <w:tcPr>
            <w:tcW w:w="2511" w:type="dxa"/>
            <w:vAlign w:val="center"/>
          </w:tcPr>
          <w:p w14:paraId="1D64F44E">
            <w:pPr>
              <w:spacing w:line="276" w:lineRule="auto"/>
            </w:pPr>
            <w:r>
              <w:t>开标时间</w:t>
            </w:r>
            <w:r>
              <w:rPr>
                <w:rFonts w:hint="eastAsia"/>
              </w:rPr>
              <w:t>、</w:t>
            </w:r>
            <w:r>
              <w:t>地点</w:t>
            </w:r>
            <w:r>
              <w:rPr>
                <w:rFonts w:hint="eastAsia"/>
              </w:rPr>
              <w:t>和人员</w:t>
            </w:r>
          </w:p>
        </w:tc>
        <w:tc>
          <w:tcPr>
            <w:tcW w:w="5568" w:type="dxa"/>
            <w:vAlign w:val="center"/>
          </w:tcPr>
          <w:p w14:paraId="793A68F4">
            <w:pPr>
              <w:spacing w:line="276" w:lineRule="auto"/>
              <w:rPr>
                <w:rFonts w:hint="eastAsia"/>
              </w:rPr>
            </w:pPr>
            <w:r>
              <w:t>开标时间：</w:t>
            </w:r>
            <w:r>
              <w:rPr>
                <w:rFonts w:hint="eastAsia"/>
              </w:rPr>
              <w:t>同投标截止时间</w:t>
            </w:r>
          </w:p>
          <w:p w14:paraId="50D93FAB">
            <w:pPr>
              <w:spacing w:line="276" w:lineRule="auto"/>
              <w:rPr>
                <w:rFonts w:hint="eastAsia"/>
              </w:rPr>
            </w:pPr>
            <w:r>
              <w:rPr>
                <w:rFonts w:hint="eastAsia"/>
              </w:rPr>
              <w:t>开标地点：</w:t>
            </w:r>
            <w:ins w:id="7" w:author="Administrator" w:date="2024-08-19T09:53:54Z">
              <w:r>
                <w:rPr>
                  <w:rFonts w:hint="eastAsia" w:ascii="宋体" w:hAnsi="宋体" w:cs="宋体"/>
                  <w:b w:val="0"/>
                  <w:color w:val="auto"/>
                  <w:kern w:val="0"/>
                  <w:sz w:val="21"/>
                  <w:szCs w:val="21"/>
                </w:rPr>
                <w:t>本</w:t>
              </w:r>
            </w:ins>
            <w:ins w:id="8" w:author="Administrator" w:date="2024-08-19T09:53:54Z">
              <w:r>
                <w:rPr>
                  <w:rFonts w:hint="eastAsia" w:ascii="宋体" w:hAnsi="宋体" w:cs="宋体"/>
                  <w:b w:val="0"/>
                  <w:color w:val="auto"/>
                  <w:kern w:val="0"/>
                  <w:sz w:val="21"/>
                  <w:szCs w:val="21"/>
                  <w:lang w:val="en-US" w:eastAsia="zh-CN"/>
                </w:rPr>
                <w:t>项目</w:t>
              </w:r>
            </w:ins>
            <w:ins w:id="9" w:author="Administrator" w:date="2024-08-19T09:53:54Z">
              <w:r>
                <w:rPr>
                  <w:rFonts w:hint="eastAsia" w:ascii="宋体" w:hAnsi="宋体" w:cs="宋体"/>
                  <w:b w:val="0"/>
                  <w:color w:val="auto"/>
                  <w:kern w:val="0"/>
                  <w:sz w:val="21"/>
                  <w:szCs w:val="21"/>
                </w:rPr>
                <w:t>采用不见面交易模式</w:t>
              </w:r>
            </w:ins>
          </w:p>
          <w:p w14:paraId="396C53AB">
            <w:pPr>
              <w:spacing w:line="276" w:lineRule="auto"/>
              <w:rPr>
                <w:rFonts w:hint="eastAsia"/>
              </w:rPr>
            </w:pPr>
            <w:r>
              <w:rPr>
                <w:rFonts w:hint="eastAsia"/>
              </w:rPr>
              <w:t>1、管理机构人员监督开标工作，现场核验招标代理机构项目组长及成员身份，非招标代理合同代理项目组负责人或成员的，予以记录，依据招标代理动态考核办法处置。</w:t>
            </w:r>
          </w:p>
          <w:p w14:paraId="0BD2AB14">
            <w:pPr>
              <w:spacing w:line="276" w:lineRule="auto"/>
              <w:rPr>
                <w:rFonts w:hint="eastAsia"/>
              </w:rPr>
            </w:pPr>
            <w:r>
              <w:rPr>
                <w:rFonts w:hint="eastAsia"/>
              </w:rPr>
              <w:t>2、系统操作人员于开标前须打开不见面交易系统视频、音频直播功能，通过语音系统或信息回复方式实时回复投标人在信息互动中所提出的疑问。</w:t>
            </w:r>
          </w:p>
          <w:p w14:paraId="2BF9DD95">
            <w:pPr>
              <w:spacing w:line="276" w:lineRule="auto"/>
              <w:rPr>
                <w:rFonts w:hint="eastAsia"/>
              </w:rPr>
            </w:pPr>
            <w:r>
              <w:rPr>
                <w:rFonts w:hint="eastAsia"/>
              </w:rPr>
              <w:t>投标人注意事项：</w:t>
            </w:r>
          </w:p>
          <w:p w14:paraId="2BB66343">
            <w:pPr>
              <w:spacing w:line="276" w:lineRule="auto"/>
              <w:rPr>
                <w:rFonts w:hint="eastAsia"/>
              </w:rPr>
            </w:pPr>
            <w:r>
              <w:rPr>
                <w:rFonts w:hint="eastAsia"/>
              </w:rPr>
              <w:t>1、开标当日，投标人不必抵达开标现场，仅需在任意地点通过不见面开标大厅参加开标会议（</w:t>
            </w:r>
            <w:r>
              <w:t>https://www.etrading.cn/TPBidder/memberframe/FrameAll</w:t>
            </w:r>
            <w:r>
              <w:rPr>
                <w:rFonts w:hint="eastAsia"/>
              </w:rPr>
              <w:t>）；</w:t>
            </w:r>
          </w:p>
          <w:p w14:paraId="39D10BDB">
            <w:pPr>
              <w:spacing w:line="276" w:lineRule="auto"/>
              <w:rPr>
                <w:rFonts w:ascii="宋体" w:hAnsi="宋体" w:cs="宋体"/>
                <w:szCs w:val="21"/>
              </w:rPr>
            </w:pPr>
            <w:r>
              <w:rPr>
                <w:rFonts w:hint="eastAsia"/>
              </w:rPr>
              <w:t>2、根据连建发【2021】336号文规定，投标人拟派项目负责人必须亲自参与所投项目的开标、评标答疑、异议投诉及标后实施过程。远程交互时，项目负责人须同时作为授权委托人全程参与，同时投标人参与交互的人员将一直被视为是投标人的授权委托人（项目负责人），投标人自行承担弄虚作假、随意更换人员所导致的一切后果。</w:t>
            </w:r>
          </w:p>
        </w:tc>
      </w:tr>
      <w:tr w14:paraId="1A641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93" w:type="dxa"/>
            <w:vAlign w:val="center"/>
          </w:tcPr>
          <w:p w14:paraId="31501CFD">
            <w:pPr>
              <w:spacing w:line="276" w:lineRule="auto"/>
              <w:jc w:val="center"/>
              <w:rPr>
                <w:rFonts w:hint="default" w:eastAsia="宋体"/>
                <w:lang w:val="en-US" w:eastAsia="zh-CN"/>
              </w:rPr>
            </w:pPr>
            <w:r>
              <w:rPr>
                <w:rFonts w:hint="eastAsia"/>
                <w:lang w:val="en-US" w:eastAsia="zh-CN"/>
              </w:rPr>
              <w:t>6</w:t>
            </w:r>
            <w:r>
              <w:t>.1</w:t>
            </w:r>
            <w:r>
              <w:rPr>
                <w:rFonts w:hint="eastAsia"/>
                <w:lang w:val="en-US" w:eastAsia="zh-CN"/>
              </w:rPr>
              <w:t>.1</w:t>
            </w:r>
          </w:p>
        </w:tc>
        <w:tc>
          <w:tcPr>
            <w:tcW w:w="2511" w:type="dxa"/>
            <w:vAlign w:val="center"/>
          </w:tcPr>
          <w:p w14:paraId="6974D12D">
            <w:pPr>
              <w:spacing w:line="276" w:lineRule="auto"/>
            </w:pPr>
            <w:r>
              <w:t>是否授权</w:t>
            </w:r>
            <w:r>
              <w:rPr>
                <w:rFonts w:hint="eastAsia"/>
              </w:rPr>
              <w:t>评审</w:t>
            </w:r>
            <w:r>
              <w:t>委员会确定中标人</w:t>
            </w:r>
          </w:p>
        </w:tc>
        <w:tc>
          <w:tcPr>
            <w:tcW w:w="5568" w:type="dxa"/>
            <w:vAlign w:val="center"/>
          </w:tcPr>
          <w:p w14:paraId="41899F30">
            <w:pPr>
              <w:spacing w:line="276" w:lineRule="auto"/>
              <w:rPr>
                <w:rFonts w:ascii="宋体" w:hAnsi="宋体" w:cs="宋体"/>
                <w:kern w:val="0"/>
                <w:szCs w:val="21"/>
              </w:rPr>
            </w:pPr>
            <w:r>
              <w:rPr>
                <w:rFonts w:hint="eastAsia" w:ascii="宋体" w:hAnsi="宋体" w:cs="宋体"/>
                <w:szCs w:val="21"/>
              </w:rPr>
              <w:t>□</w:t>
            </w:r>
            <w:r>
              <w:rPr>
                <w:rFonts w:hint="eastAsia" w:ascii="宋体" w:hAnsi="宋体" w:cs="宋体"/>
                <w:kern w:val="0"/>
                <w:szCs w:val="21"/>
              </w:rPr>
              <w:t>是</w:t>
            </w:r>
          </w:p>
          <w:p w14:paraId="57ACC73B">
            <w:pPr>
              <w:spacing w:line="276" w:lineRule="auto"/>
              <w:rPr>
                <w:u w:val="single"/>
              </w:rPr>
            </w:pPr>
            <w:r>
              <w:rPr>
                <w:rFonts w:ascii="宋体" w:hAnsi="宋体" w:cs="宋体"/>
                <w:b/>
                <w:szCs w:val="21"/>
              </w:rPr>
              <w:fldChar w:fldCharType="begin"/>
            </w:r>
            <w:r>
              <w:rPr>
                <w:rFonts w:hint="eastAsia" w:ascii="宋体" w:hAnsi="宋体" w:cs="宋体"/>
                <w:b/>
                <w:szCs w:val="21"/>
              </w:rPr>
              <w:instrText xml:space="preserve">eq \o\ac(□,√)</w:instrText>
            </w:r>
            <w:r>
              <w:rPr>
                <w:rFonts w:ascii="宋体" w:hAnsi="宋体" w:cs="宋体"/>
                <w:szCs w:val="21"/>
              </w:rPr>
              <w:fldChar w:fldCharType="end"/>
            </w:r>
            <w:r>
              <w:rPr>
                <w:rFonts w:hint="eastAsia" w:ascii="宋体" w:hAnsi="宋体" w:cs="宋体"/>
                <w:szCs w:val="21"/>
              </w:rPr>
              <w:t>否，推荐的中标候选人数3人</w:t>
            </w:r>
          </w:p>
        </w:tc>
      </w:tr>
      <w:tr w14:paraId="51838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93" w:type="dxa"/>
            <w:vAlign w:val="center"/>
          </w:tcPr>
          <w:p w14:paraId="0CEB0BE7">
            <w:pPr>
              <w:spacing w:line="276" w:lineRule="auto"/>
              <w:jc w:val="center"/>
              <w:rPr>
                <w:rFonts w:hint="eastAsia" w:eastAsia="宋体"/>
                <w:lang w:val="en-US" w:eastAsia="zh-CN"/>
              </w:rPr>
            </w:pPr>
            <w:r>
              <w:rPr>
                <w:rFonts w:hint="eastAsia"/>
                <w:lang w:val="en-US" w:eastAsia="zh-CN"/>
              </w:rPr>
              <w:t>7.1</w:t>
            </w:r>
            <w:r>
              <w:rPr>
                <w:rFonts w:hint="eastAsia"/>
              </w:rPr>
              <w:t>.</w:t>
            </w:r>
            <w:r>
              <w:rPr>
                <w:rFonts w:hint="eastAsia"/>
                <w:lang w:val="en-US" w:eastAsia="zh-CN"/>
              </w:rPr>
              <w:t>1</w:t>
            </w:r>
          </w:p>
        </w:tc>
        <w:tc>
          <w:tcPr>
            <w:tcW w:w="2511" w:type="dxa"/>
            <w:vAlign w:val="center"/>
          </w:tcPr>
          <w:p w14:paraId="303447EE">
            <w:pPr>
              <w:spacing w:line="276" w:lineRule="auto"/>
            </w:pPr>
            <w:r>
              <w:t>履约保证金</w:t>
            </w:r>
          </w:p>
        </w:tc>
        <w:tc>
          <w:tcPr>
            <w:tcW w:w="5568" w:type="dxa"/>
            <w:vAlign w:val="center"/>
          </w:tcPr>
          <w:p w14:paraId="60B832FA">
            <w:pPr>
              <w:adjustRightInd w:val="0"/>
              <w:snapToGrid w:val="0"/>
              <w:spacing w:line="276" w:lineRule="auto"/>
              <w:rPr>
                <w:rFonts w:ascii="宋体" w:hAnsi="宋体" w:cs="宋体"/>
                <w:szCs w:val="21"/>
              </w:rPr>
            </w:pPr>
            <w:r>
              <w:rPr>
                <w:rFonts w:hint="eastAsia" w:ascii="宋体" w:hAnsi="宋体" w:cs="宋体"/>
                <w:szCs w:val="21"/>
              </w:rPr>
              <w:t>□是  履约保证金的形式：</w:t>
            </w:r>
            <w:r>
              <w:rPr>
                <w:rFonts w:hint="eastAsia" w:ascii="宋体" w:hAnsi="宋体" w:cs="宋体"/>
                <w:b/>
                <w:bCs/>
                <w:szCs w:val="21"/>
              </w:rPr>
              <w:t>现金或银行保函</w:t>
            </w:r>
          </w:p>
          <w:p w14:paraId="15887F88">
            <w:pPr>
              <w:adjustRightInd w:val="0"/>
              <w:snapToGrid w:val="0"/>
              <w:spacing w:line="276" w:lineRule="auto"/>
              <w:rPr>
                <w:rFonts w:hint="default" w:ascii="宋体" w:hAnsi="宋体" w:eastAsia="宋体" w:cs="宋体"/>
                <w:szCs w:val="21"/>
                <w:lang w:val="en-US" w:eastAsia="zh-CN"/>
              </w:rPr>
            </w:pPr>
            <w:r>
              <w:rPr>
                <w:rFonts w:hint="eastAsia" w:ascii="宋体" w:hAnsi="宋体" w:cs="宋体"/>
                <w:szCs w:val="21"/>
              </w:rPr>
              <w:t>履约保证金的金额：</w:t>
            </w:r>
            <w:r>
              <w:rPr>
                <w:rFonts w:hint="eastAsia" w:ascii="宋体" w:hAnsi="宋体" w:cs="宋体"/>
                <w:szCs w:val="21"/>
                <w:u w:val="single"/>
              </w:rPr>
              <w:t xml:space="preserve"> </w:t>
            </w:r>
            <w:r>
              <w:rPr>
                <w:rFonts w:hint="eastAsia" w:ascii="宋体" w:hAnsi="宋体" w:cs="宋体"/>
                <w:b/>
                <w:bCs/>
                <w:szCs w:val="21"/>
                <w:u w:val="single"/>
              </w:rPr>
              <w:t>合同价的10%</w:t>
            </w:r>
            <w:r>
              <w:rPr>
                <w:rFonts w:hint="eastAsia" w:ascii="宋体" w:hAnsi="宋体" w:cs="宋体"/>
                <w:szCs w:val="21"/>
                <w:u w:val="single"/>
              </w:rPr>
              <w:t xml:space="preserve"> </w:t>
            </w:r>
            <w:r>
              <w:rPr>
                <w:rFonts w:hint="eastAsia" w:ascii="宋体" w:hAnsi="宋体" w:cs="宋体"/>
                <w:szCs w:val="21"/>
              </w:rPr>
              <w:t>，投标人在收到中标通知书后，合同签订前，向招标人足额提交履约保证金，否则视为投标人放弃中标项目，同时按规定没收其投标保证金。</w:t>
            </w:r>
          </w:p>
          <w:p w14:paraId="30914EA9">
            <w:pPr>
              <w:spacing w:line="276" w:lineRule="auto"/>
            </w:pPr>
            <w:r>
              <w:rPr>
                <w:rFonts w:hint="eastAsia" w:ascii="宋体" w:hAnsi="宋体" w:cs="宋体"/>
                <w:szCs w:val="21"/>
              </w:rPr>
              <w:t>■否</w:t>
            </w:r>
          </w:p>
        </w:tc>
      </w:tr>
      <w:tr w14:paraId="4E912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072" w:type="dxa"/>
            <w:gridSpan w:val="3"/>
            <w:vAlign w:val="center"/>
          </w:tcPr>
          <w:p w14:paraId="3D570615">
            <w:pPr>
              <w:spacing w:line="276" w:lineRule="auto"/>
              <w:rPr>
                <w:szCs w:val="21"/>
              </w:rPr>
            </w:pPr>
            <w:r>
              <w:t>10</w:t>
            </w:r>
            <w:r>
              <w:rPr>
                <w:rFonts w:hint="eastAsia" w:ascii="宋体" w:hAnsi="宋体" w:cs="宋体"/>
                <w:b/>
                <w:kern w:val="0"/>
                <w:szCs w:val="21"/>
              </w:rPr>
              <w:t>需要补充的其他内容</w:t>
            </w:r>
          </w:p>
        </w:tc>
      </w:tr>
      <w:tr w14:paraId="6BB5D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072" w:type="dxa"/>
            <w:gridSpan w:val="3"/>
          </w:tcPr>
          <w:p w14:paraId="3B18D87B">
            <w:pPr>
              <w:adjustRightInd w:val="0"/>
              <w:snapToGrid w:val="0"/>
              <w:spacing w:line="400" w:lineRule="exact"/>
              <w:rPr>
                <w:rFonts w:ascii="宋体" w:hAnsi="宋体" w:cs="宋体"/>
                <w:szCs w:val="21"/>
              </w:rPr>
            </w:pPr>
            <w:r>
              <w:rPr>
                <w:rFonts w:hint="eastAsia" w:ascii="宋体" w:hAnsi="宋体" w:cs="宋体"/>
                <w:szCs w:val="21"/>
              </w:rPr>
              <w:t>1、投标人对接收到的一切与本次招投标工作有关的电子及纸质资料，包括但不限于招标文件、招标工程量清单、图纸、答疑等，负有保密责任，不得随意传播，对于由此产生的各种责任由投标人承担，为招标人造成损失的由投标人负责赔偿。</w:t>
            </w:r>
          </w:p>
          <w:p w14:paraId="4335B44F">
            <w:pPr>
              <w:adjustRightInd w:val="0"/>
              <w:snapToGrid w:val="0"/>
              <w:spacing w:line="400" w:lineRule="exact"/>
              <w:rPr>
                <w:rFonts w:ascii="宋体" w:hAnsi="宋体" w:cs="宋体"/>
                <w:szCs w:val="21"/>
              </w:rPr>
            </w:pPr>
            <w:r>
              <w:rPr>
                <w:rFonts w:ascii="宋体" w:hAnsi="宋体" w:cs="宋体"/>
                <w:szCs w:val="21"/>
              </w:rPr>
              <w:t>2</w:t>
            </w:r>
            <w:r>
              <w:rPr>
                <w:rFonts w:hint="eastAsia" w:ascii="宋体" w:hAnsi="宋体" w:cs="宋体"/>
                <w:szCs w:val="21"/>
              </w:rPr>
              <w:t>、未注明使用何种语言和币种的，以中文和人民币为准。</w:t>
            </w:r>
          </w:p>
          <w:p w14:paraId="7E531B6E">
            <w:pPr>
              <w:adjustRightInd w:val="0"/>
              <w:snapToGrid w:val="0"/>
              <w:spacing w:line="400" w:lineRule="exact"/>
              <w:rPr>
                <w:rFonts w:ascii="宋体" w:hAnsi="宋体" w:cs="宋体"/>
                <w:szCs w:val="21"/>
              </w:rPr>
            </w:pPr>
            <w:r>
              <w:rPr>
                <w:rFonts w:ascii="宋体" w:hAnsi="宋体" w:cs="宋体"/>
                <w:szCs w:val="21"/>
              </w:rPr>
              <w:t>3</w:t>
            </w:r>
            <w:r>
              <w:rPr>
                <w:rFonts w:hint="eastAsia" w:ascii="宋体" w:hAnsi="宋体" w:cs="宋体"/>
                <w:szCs w:val="21"/>
              </w:rPr>
              <w:t>、投标人标中、标后被发现存在出借（挂靠）资质行为，将被取消投标或中标（候选人）资格、投标保证金不予退还、履约保证金不予退还、合同解除及清除出场，一切损失自行承担。</w:t>
            </w:r>
          </w:p>
          <w:p w14:paraId="555037E8">
            <w:pPr>
              <w:adjustRightInd w:val="0"/>
              <w:snapToGrid w:val="0"/>
              <w:spacing w:line="400" w:lineRule="exact"/>
              <w:rPr>
                <w:rFonts w:ascii="宋体" w:hAnsi="宋体" w:cs="宋体"/>
                <w:szCs w:val="21"/>
              </w:rPr>
            </w:pPr>
            <w:r>
              <w:rPr>
                <w:rFonts w:hint="eastAsia" w:ascii="宋体" w:hAnsi="宋体" w:cs="宋体"/>
                <w:szCs w:val="21"/>
              </w:rPr>
              <w:t>注：出借（挂靠）资质行为认定依据《住房和城乡建设部关于印发建筑工程施工发包与承包违法行为认定查处管理办法的通知》建市规〔2019〕1 号等文件涉及“违法转包、分包、挂靠”等条款精神。</w:t>
            </w:r>
          </w:p>
          <w:p w14:paraId="4B0904B1">
            <w:pPr>
              <w:adjustRightInd w:val="0"/>
              <w:snapToGrid w:val="0"/>
              <w:spacing w:line="400" w:lineRule="exact"/>
              <w:rPr>
                <w:rFonts w:hint="eastAsia" w:ascii="宋体" w:hAnsi="宋体" w:cs="宋体"/>
                <w:szCs w:val="21"/>
              </w:rPr>
            </w:pPr>
            <w:r>
              <w:rPr>
                <w:rFonts w:hint="eastAsia" w:ascii="宋体" w:hAnsi="宋体" w:cs="宋体"/>
                <w:szCs w:val="21"/>
              </w:rPr>
              <w:t>4、本</w:t>
            </w:r>
            <w:ins w:id="10" w:author="Administrator" w:date="2024-08-19T09:59:40Z">
              <w:r>
                <w:rPr>
                  <w:rFonts w:hint="eastAsia" w:ascii="宋体" w:hAnsi="宋体" w:cs="宋体"/>
                  <w:szCs w:val="21"/>
                  <w:lang w:val="en-US" w:eastAsia="zh-CN"/>
                </w:rPr>
                <w:t>项目</w:t>
              </w:r>
            </w:ins>
            <w:r>
              <w:rPr>
                <w:rFonts w:hint="eastAsia" w:ascii="宋体" w:hAnsi="宋体" w:cs="宋体"/>
                <w:szCs w:val="21"/>
              </w:rPr>
              <w:t>进场交易综合服务费：</w:t>
            </w:r>
            <w:ins w:id="11" w:author="Administrator" w:date="2024-08-19T09:59:29Z">
              <w:r>
                <w:rPr>
                  <w:rFonts w:hint="eastAsia" w:ascii="宋体" w:hAnsi="宋体" w:cs="宋体"/>
                  <w:szCs w:val="21"/>
                  <w:lang w:val="en-US" w:eastAsia="zh-CN"/>
                </w:rPr>
                <w:t>无</w:t>
              </w:r>
            </w:ins>
            <w:r>
              <w:rPr>
                <w:rFonts w:hint="eastAsia" w:ascii="宋体" w:hAnsi="宋体" w:cs="宋体"/>
                <w:szCs w:val="21"/>
              </w:rPr>
              <w:t>。</w:t>
            </w:r>
          </w:p>
          <w:p w14:paraId="3405D318">
            <w:pPr>
              <w:adjustRightInd w:val="0"/>
              <w:snapToGrid w:val="0"/>
              <w:spacing w:line="400" w:lineRule="exact"/>
              <w:rPr>
                <w:rFonts w:ascii="宋体" w:hAnsi="宋体" w:cs="宋体"/>
                <w:szCs w:val="21"/>
              </w:rPr>
            </w:pPr>
            <w:r>
              <w:rPr>
                <w:rFonts w:ascii="宋体" w:hAnsi="宋体" w:cs="宋体"/>
                <w:szCs w:val="21"/>
              </w:rPr>
              <w:t>5</w:t>
            </w:r>
            <w:r>
              <w:rPr>
                <w:rFonts w:hint="eastAsia" w:ascii="宋体" w:hAnsi="宋体" w:cs="宋体"/>
                <w:szCs w:val="21"/>
              </w:rPr>
              <w:t>、远程不见面交易要求：本工程采用远程不见面交易模式，通过不见面交易系统及相应的配套硬件设备（摄像头、话筒、麦克风等）完成远程解密、评标办法与系数抽取、开标现场异议及回复、开标唱标、等交互环节。相关要求和说明如下：</w:t>
            </w:r>
          </w:p>
          <w:p w14:paraId="5E800806">
            <w:pPr>
              <w:adjustRightInd w:val="0"/>
              <w:snapToGrid w:val="0"/>
              <w:spacing w:line="400" w:lineRule="exact"/>
              <w:rPr>
                <w:rFonts w:ascii="宋体" w:hAnsi="宋体" w:cs="宋体"/>
                <w:szCs w:val="21"/>
              </w:rPr>
            </w:pPr>
            <w:r>
              <w:rPr>
                <w:rFonts w:hint="eastAsia" w:ascii="宋体" w:hAnsi="宋体" w:cs="宋体"/>
                <w:szCs w:val="21"/>
              </w:rPr>
              <w:t>（1）不见面交易项目的时间均以国家授时中心发布的时间为准。</w:t>
            </w:r>
          </w:p>
          <w:p w14:paraId="70C0B2E1">
            <w:pPr>
              <w:adjustRightInd w:val="0"/>
              <w:snapToGrid w:val="0"/>
              <w:spacing w:line="400" w:lineRule="exact"/>
              <w:rPr>
                <w:rFonts w:ascii="宋体" w:hAnsi="宋体" w:cs="宋体"/>
                <w:szCs w:val="21"/>
              </w:rPr>
            </w:pPr>
            <w:r>
              <w:rPr>
                <w:rFonts w:hint="eastAsia" w:ascii="宋体" w:hAnsi="宋体" w:cs="宋体"/>
                <w:szCs w:val="21"/>
              </w:rPr>
              <w:t>（2）开标当日，投标人可在任意地点通过不见面开标大厅参加开标会议，如自主决定抵达开标现场，请自备笔记本电脑、热点网络等（现场不提供），并提前做好调试，</w:t>
            </w:r>
            <w:r>
              <w:rPr>
                <w:rFonts w:hint="eastAsia" w:ascii="宋体" w:hAnsi="宋体" w:cs="宋体"/>
                <w:szCs w:val="21"/>
                <w:lang w:val="en-US" w:eastAsia="zh-CN"/>
              </w:rPr>
              <w:t>集采中心</w:t>
            </w:r>
            <w:r>
              <w:rPr>
                <w:rFonts w:hint="eastAsia" w:ascii="宋体" w:hAnsi="宋体" w:cs="宋体"/>
                <w:szCs w:val="21"/>
              </w:rPr>
              <w:t>、招标人、招标代理机构不承担因投标人自身准备原因造成的损失。</w:t>
            </w:r>
          </w:p>
          <w:p w14:paraId="2B9B66BD">
            <w:pPr>
              <w:adjustRightInd w:val="0"/>
              <w:snapToGrid w:val="0"/>
              <w:spacing w:line="400" w:lineRule="exact"/>
              <w:rPr>
                <w:rFonts w:ascii="宋体" w:hAnsi="宋体" w:cs="宋体"/>
                <w:szCs w:val="21"/>
              </w:rPr>
            </w:pPr>
            <w:r>
              <w:rPr>
                <w:rFonts w:hint="eastAsia" w:ascii="宋体" w:hAnsi="宋体" w:cs="宋体"/>
                <w:szCs w:val="21"/>
              </w:rPr>
              <w:t>（3）投标文件递交截止时间前，工作人员提前进入开标大厅，播放测试音频，请各投标人法定代表人或委托代理人提前登录不见面开标大厅并在投标文件递交截止时间之前完成签到（如需投标人签到的），收听观看实时音视频交互效果并及时在讨论组中反馈。开标系统如需投标人签到，但未按时加入开标会议并完成登录、签到操作的或未能在开标会议区内全程参与交互的，投标人将无法收到解密指令、疑义回复等实时内容，视为放弃投标（响应）和放弃对开标（开启）全过程提出疑义的权利，并承担由此导致的一切后果。注：投标人在签到时，须填写法定代表人或委托代理人姓名，手机号码（在整个招标过程中，该手机号码务必保持畅通，否则澄清、说明、答疑等联系不到产生的一切后果由投标人自行承担）。相关操作详见下载中心。</w:t>
            </w:r>
          </w:p>
          <w:p w14:paraId="03C12406">
            <w:pPr>
              <w:adjustRightInd w:val="0"/>
              <w:snapToGrid w:val="0"/>
              <w:spacing w:line="400" w:lineRule="exact"/>
              <w:rPr>
                <w:rFonts w:ascii="宋体" w:hAnsi="宋体" w:cs="宋体"/>
                <w:szCs w:val="21"/>
              </w:rPr>
            </w:pPr>
            <w:r>
              <w:rPr>
                <w:rFonts w:hint="eastAsia" w:ascii="宋体" w:hAnsi="宋体" w:cs="宋体"/>
                <w:szCs w:val="21"/>
              </w:rPr>
              <w:t>（4）投标文件接收截止时间后，工作人员将在不见面开标大厅发出投标文件解密指令，投标人在各自地点按规定时间自行实施远程解密，解密限定在发出指令后30分钟内完成。</w:t>
            </w:r>
          </w:p>
          <w:p w14:paraId="238FB8F9">
            <w:pPr>
              <w:adjustRightInd w:val="0"/>
              <w:snapToGrid w:val="0"/>
              <w:spacing w:line="400" w:lineRule="exact"/>
              <w:rPr>
                <w:rFonts w:ascii="宋体" w:hAnsi="宋体" w:cs="宋体"/>
                <w:szCs w:val="21"/>
              </w:rPr>
            </w:pPr>
            <w:r>
              <w:rPr>
                <w:rFonts w:hint="eastAsia" w:ascii="宋体" w:hAnsi="宋体" w:cs="宋体"/>
                <w:szCs w:val="21"/>
              </w:rPr>
              <w:t>因投标人网络与电源不稳定、配置的软硬件环境无法满足系统正常使用、CA数字证书发生故障或错用等自身原因，导致投标文件在规定时间内未能解密、解密失败或解密超时，视为投标人响应）文件递交无效，系统内投标文件将被退回；因网上开评标系统发生故障，导致无法按时完成投标文件解密或开评审工作无法正常进行的，可根据实际情况相应延迟解密时间或调整开评审时间。本项目在限定的解密时间内，只要有一家投标人解密成功，即视为不见面开标大厅运行无故障。</w:t>
            </w:r>
          </w:p>
          <w:p w14:paraId="30774C46">
            <w:pPr>
              <w:autoSpaceDE w:val="0"/>
              <w:autoSpaceDN w:val="0"/>
              <w:adjustRightInd w:val="0"/>
              <w:spacing w:line="276" w:lineRule="auto"/>
              <w:jc w:val="left"/>
              <w:rPr>
                <w:b/>
                <w:szCs w:val="21"/>
              </w:rPr>
            </w:pPr>
            <w:r>
              <w:rPr>
                <w:rFonts w:hint="eastAsia" w:ascii="宋体" w:hAnsi="宋体" w:cs="宋体"/>
                <w:szCs w:val="21"/>
              </w:rPr>
              <w:t xml:space="preserve">（5）为保证交互效果，建议投标人配置的硬件环境有：高配置电脑、高速稳定的网络、电源（不间断）、CA数字证书、音视频设备（耳麦、高清摄像头）等；软件环境有：IE浏览器（版本必须为11），江苏省互联互通驱动。建议选择封闭安静的地点参与远程交互。因投标人自身硬件、软件配备不齐全或发生故障等问题导致在交互过程中出现不稳定或中断等情形的，由投标人自身承担一切后果。 </w:t>
            </w:r>
          </w:p>
        </w:tc>
      </w:tr>
    </w:tbl>
    <w:p w14:paraId="3A687C19">
      <w:pPr>
        <w:pStyle w:val="4"/>
        <w:spacing w:line="360" w:lineRule="auto"/>
        <w:rPr>
          <w:rFonts w:ascii="宋体" w:hAnsi="宋体" w:eastAsia="宋体"/>
        </w:rPr>
      </w:pPr>
      <w:bookmarkStart w:id="66" w:name="_Toc367894798"/>
      <w:bookmarkStart w:id="67" w:name="_Toc368760427"/>
      <w:bookmarkStart w:id="68" w:name="_Toc387526179"/>
      <w:bookmarkStart w:id="69" w:name="_Toc18948"/>
      <w:bookmarkStart w:id="70" w:name="_Toc363329370"/>
      <w:bookmarkStart w:id="71" w:name="_Toc369077561"/>
      <w:bookmarkStart w:id="72" w:name="_Toc387526283"/>
      <w:bookmarkStart w:id="73" w:name="_Toc387526375"/>
      <w:bookmarkStart w:id="74" w:name="_Toc57041891"/>
      <w:bookmarkStart w:id="75" w:name="_Toc368759375"/>
      <w:bookmarkStart w:id="76" w:name="_Toc184635071"/>
      <w:r>
        <w:rPr>
          <w:rFonts w:ascii="宋体" w:hAnsi="宋体" w:eastAsia="宋体"/>
        </w:rPr>
        <w:t>1</w:t>
      </w:r>
      <w:r>
        <w:rPr>
          <w:sz w:val="28"/>
          <w:szCs w:val="28"/>
        </w:rPr>
        <w:t>.</w:t>
      </w:r>
      <w:r>
        <w:rPr>
          <w:rFonts w:ascii="宋体" w:hAnsi="宋体" w:eastAsia="宋体"/>
        </w:rPr>
        <w:t>总则</w:t>
      </w:r>
      <w:bookmarkEnd w:id="66"/>
      <w:bookmarkEnd w:id="67"/>
      <w:bookmarkEnd w:id="68"/>
      <w:bookmarkEnd w:id="69"/>
      <w:bookmarkEnd w:id="70"/>
      <w:bookmarkEnd w:id="71"/>
      <w:bookmarkEnd w:id="72"/>
      <w:bookmarkEnd w:id="73"/>
      <w:bookmarkEnd w:id="74"/>
      <w:bookmarkEnd w:id="75"/>
      <w:bookmarkEnd w:id="76"/>
    </w:p>
    <w:p w14:paraId="556D9EA0">
      <w:pPr>
        <w:pStyle w:val="5"/>
        <w:spacing w:before="60" w:after="60" w:line="360" w:lineRule="auto"/>
        <w:ind w:firstLine="118"/>
        <w:rPr>
          <w:szCs w:val="24"/>
        </w:rPr>
      </w:pPr>
      <w:bookmarkStart w:id="77" w:name="_Toc5365"/>
      <w:bookmarkStart w:id="78" w:name="_Toc57041892"/>
      <w:bookmarkStart w:id="79" w:name="_Toc387526180"/>
      <w:bookmarkStart w:id="80" w:name="_Toc387526376"/>
      <w:bookmarkStart w:id="81" w:name="_Toc387526284"/>
      <w:r>
        <w:rPr>
          <w:szCs w:val="24"/>
        </w:rPr>
        <w:t>1.1 项目概况</w:t>
      </w:r>
      <w:bookmarkEnd w:id="77"/>
      <w:bookmarkEnd w:id="78"/>
      <w:bookmarkEnd w:id="79"/>
      <w:bookmarkEnd w:id="80"/>
      <w:bookmarkEnd w:id="81"/>
    </w:p>
    <w:p w14:paraId="696B4E44">
      <w:pPr>
        <w:spacing w:line="360" w:lineRule="auto"/>
        <w:ind w:firstLine="420" w:firstLineChars="200"/>
      </w:pPr>
      <w:r>
        <w:t>1.1.1根据有关法律、法规和规章的规定，本</w:t>
      </w:r>
      <w:r>
        <w:rPr>
          <w:rFonts w:hint="eastAsia"/>
        </w:rPr>
        <w:t>招标</w:t>
      </w:r>
      <w:r>
        <w:t>项目已具备</w:t>
      </w:r>
      <w:r>
        <w:rPr>
          <w:rFonts w:hint="eastAsia"/>
        </w:rPr>
        <w:t>招标</w:t>
      </w:r>
      <w:r>
        <w:t>条件，现对本项目</w:t>
      </w:r>
      <w:r>
        <w:rPr>
          <w:rFonts w:hint="eastAsia"/>
        </w:rPr>
        <w:t>全过程跟踪审计</w:t>
      </w:r>
      <w:r>
        <w:t>进行</w:t>
      </w:r>
      <w:r>
        <w:rPr>
          <w:rFonts w:hint="eastAsia"/>
        </w:rPr>
        <w:t>招标</w:t>
      </w:r>
      <w:r>
        <w:t>。</w:t>
      </w:r>
    </w:p>
    <w:p w14:paraId="54A6875B">
      <w:pPr>
        <w:spacing w:line="360" w:lineRule="auto"/>
        <w:ind w:firstLine="420" w:firstLineChars="200"/>
      </w:pPr>
      <w:r>
        <w:t>1.1.2本</w:t>
      </w:r>
      <w:r>
        <w:rPr>
          <w:rFonts w:hint="eastAsia"/>
        </w:rPr>
        <w:t>招标</w:t>
      </w:r>
      <w:r>
        <w:t>项目</w:t>
      </w:r>
      <w:r>
        <w:rPr>
          <w:rFonts w:hint="eastAsia"/>
        </w:rPr>
        <w:t>招标人</w:t>
      </w:r>
      <w:r>
        <w:t>：见</w:t>
      </w:r>
      <w:r>
        <w:rPr>
          <w:rFonts w:hint="eastAsia"/>
        </w:rPr>
        <w:t>投标人</w:t>
      </w:r>
      <w:r>
        <w:t>须知前附表。</w:t>
      </w:r>
    </w:p>
    <w:p w14:paraId="13A3832E">
      <w:pPr>
        <w:spacing w:line="360" w:lineRule="auto"/>
        <w:ind w:firstLine="420" w:firstLineChars="200"/>
      </w:pPr>
      <w:r>
        <w:t>1.1.3本</w:t>
      </w:r>
      <w:r>
        <w:rPr>
          <w:rFonts w:hint="eastAsia"/>
        </w:rPr>
        <w:t>招标</w:t>
      </w:r>
      <w:r>
        <w:t>项目</w:t>
      </w:r>
      <w:r>
        <w:rPr>
          <w:rFonts w:hint="eastAsia"/>
        </w:rPr>
        <w:t>招标</w:t>
      </w:r>
      <w:r>
        <w:t>代理机构：见</w:t>
      </w:r>
      <w:r>
        <w:rPr>
          <w:rFonts w:hint="eastAsia"/>
        </w:rPr>
        <w:t>投标人</w:t>
      </w:r>
      <w:r>
        <w:t>须知前附表。</w:t>
      </w:r>
    </w:p>
    <w:p w14:paraId="02EC3C61">
      <w:pPr>
        <w:spacing w:line="360" w:lineRule="auto"/>
        <w:ind w:firstLine="420" w:firstLineChars="200"/>
      </w:pPr>
      <w:r>
        <w:t>1.1.4本</w:t>
      </w:r>
      <w:r>
        <w:rPr>
          <w:rFonts w:hint="eastAsia"/>
        </w:rPr>
        <w:t>招标</w:t>
      </w:r>
      <w:r>
        <w:t>项目名称：见</w:t>
      </w:r>
      <w:r>
        <w:rPr>
          <w:rFonts w:hint="eastAsia"/>
        </w:rPr>
        <w:t>投标人</w:t>
      </w:r>
      <w:r>
        <w:t>须知前附表。</w:t>
      </w:r>
    </w:p>
    <w:p w14:paraId="3BD4FF59">
      <w:pPr>
        <w:pStyle w:val="5"/>
        <w:spacing w:before="60" w:after="60" w:line="360" w:lineRule="auto"/>
        <w:ind w:firstLine="118"/>
        <w:rPr>
          <w:szCs w:val="24"/>
        </w:rPr>
      </w:pPr>
      <w:bookmarkStart w:id="82" w:name="_Toc11796"/>
      <w:bookmarkStart w:id="83" w:name="_Toc387526377"/>
      <w:bookmarkStart w:id="84" w:name="_Toc57041893"/>
      <w:bookmarkStart w:id="85" w:name="_Toc387526181"/>
      <w:bookmarkStart w:id="86" w:name="_Toc387526285"/>
      <w:r>
        <w:rPr>
          <w:szCs w:val="24"/>
        </w:rPr>
        <w:t>1.2 资金来源和落实情况</w:t>
      </w:r>
      <w:bookmarkEnd w:id="82"/>
      <w:bookmarkEnd w:id="83"/>
      <w:bookmarkEnd w:id="84"/>
      <w:bookmarkEnd w:id="85"/>
      <w:bookmarkEnd w:id="86"/>
    </w:p>
    <w:p w14:paraId="7554D651">
      <w:pPr>
        <w:spacing w:line="360" w:lineRule="auto"/>
        <w:ind w:firstLine="420" w:firstLineChars="200"/>
      </w:pPr>
      <w:r>
        <w:t>1.2.1本</w:t>
      </w:r>
      <w:r>
        <w:rPr>
          <w:rFonts w:hint="eastAsia"/>
        </w:rPr>
        <w:t>招标</w:t>
      </w:r>
      <w:r>
        <w:t>项目的资金来源：见</w:t>
      </w:r>
      <w:r>
        <w:rPr>
          <w:rFonts w:hint="eastAsia"/>
        </w:rPr>
        <w:t>投标人</w:t>
      </w:r>
      <w:r>
        <w:t>须知前附表。</w:t>
      </w:r>
    </w:p>
    <w:p w14:paraId="52AEE23A">
      <w:pPr>
        <w:spacing w:line="360" w:lineRule="auto"/>
        <w:ind w:firstLine="420" w:firstLineChars="200"/>
      </w:pPr>
      <w:r>
        <w:t>1.2.</w:t>
      </w:r>
      <w:r>
        <w:rPr>
          <w:rFonts w:hint="eastAsia"/>
        </w:rPr>
        <w:t>2</w:t>
      </w:r>
      <w:r>
        <w:t>本</w:t>
      </w:r>
      <w:r>
        <w:rPr>
          <w:rFonts w:hint="eastAsia"/>
        </w:rPr>
        <w:t>招标</w:t>
      </w:r>
      <w:r>
        <w:t>项目的资金落实情况：见</w:t>
      </w:r>
      <w:r>
        <w:rPr>
          <w:rFonts w:hint="eastAsia"/>
        </w:rPr>
        <w:t>投标人</w:t>
      </w:r>
      <w:r>
        <w:t>须知前附表。</w:t>
      </w:r>
    </w:p>
    <w:p w14:paraId="1A29AE34">
      <w:pPr>
        <w:pStyle w:val="5"/>
        <w:spacing w:before="60" w:after="60" w:line="360" w:lineRule="auto"/>
        <w:ind w:firstLine="118"/>
        <w:rPr>
          <w:szCs w:val="24"/>
        </w:rPr>
      </w:pPr>
      <w:bookmarkStart w:id="87" w:name="_Toc387526378"/>
      <w:bookmarkStart w:id="88" w:name="_Toc57041894"/>
      <w:bookmarkStart w:id="89" w:name="_Toc387526182"/>
      <w:bookmarkStart w:id="90" w:name="_Toc853"/>
      <w:bookmarkStart w:id="91" w:name="_Toc387526286"/>
      <w:r>
        <w:rPr>
          <w:szCs w:val="24"/>
        </w:rPr>
        <w:t>1.3</w:t>
      </w:r>
      <w:r>
        <w:rPr>
          <w:rFonts w:hint="eastAsia"/>
          <w:szCs w:val="24"/>
        </w:rPr>
        <w:t xml:space="preserve"> 招标</w:t>
      </w:r>
      <w:r>
        <w:rPr>
          <w:szCs w:val="24"/>
        </w:rPr>
        <w:t>范围、</w:t>
      </w:r>
      <w:r>
        <w:rPr>
          <w:rFonts w:hint="eastAsia"/>
          <w:szCs w:val="24"/>
        </w:rPr>
        <w:t>服务</w:t>
      </w:r>
      <w:r>
        <w:rPr>
          <w:szCs w:val="24"/>
        </w:rPr>
        <w:t>期和质量要求</w:t>
      </w:r>
      <w:bookmarkEnd w:id="87"/>
      <w:bookmarkEnd w:id="88"/>
      <w:bookmarkEnd w:id="89"/>
      <w:bookmarkEnd w:id="90"/>
      <w:bookmarkEnd w:id="91"/>
    </w:p>
    <w:p w14:paraId="4C0CC048">
      <w:pPr>
        <w:spacing w:line="360" w:lineRule="auto"/>
        <w:ind w:firstLine="420" w:firstLineChars="200"/>
      </w:pPr>
      <w:r>
        <w:t>1.3.1本次</w:t>
      </w:r>
      <w:r>
        <w:rPr>
          <w:rFonts w:hint="eastAsia"/>
        </w:rPr>
        <w:t>招标</w:t>
      </w:r>
      <w:r>
        <w:t>范围：见</w:t>
      </w:r>
      <w:r>
        <w:rPr>
          <w:rFonts w:hint="eastAsia"/>
        </w:rPr>
        <w:t>投标人</w:t>
      </w:r>
      <w:r>
        <w:t>须知前附表。</w:t>
      </w:r>
    </w:p>
    <w:p w14:paraId="20395742">
      <w:pPr>
        <w:spacing w:line="360" w:lineRule="auto"/>
        <w:ind w:firstLine="420" w:firstLineChars="200"/>
      </w:pPr>
      <w:r>
        <w:t>1.3.2本</w:t>
      </w:r>
      <w:r>
        <w:rPr>
          <w:rFonts w:hint="eastAsia"/>
        </w:rPr>
        <w:t>招标</w:t>
      </w:r>
      <w:r>
        <w:t>项目的</w:t>
      </w:r>
      <w:r>
        <w:rPr>
          <w:rFonts w:hint="eastAsia"/>
        </w:rPr>
        <w:t>服务</w:t>
      </w:r>
      <w:r>
        <w:t>期：见</w:t>
      </w:r>
      <w:r>
        <w:rPr>
          <w:rFonts w:hint="eastAsia"/>
        </w:rPr>
        <w:t>投标人</w:t>
      </w:r>
      <w:r>
        <w:t>须知前附表。</w:t>
      </w:r>
    </w:p>
    <w:p w14:paraId="52D5554B">
      <w:pPr>
        <w:spacing w:line="360" w:lineRule="auto"/>
        <w:ind w:firstLine="420" w:firstLineChars="200"/>
      </w:pPr>
      <w:r>
        <w:t>1.3.3本</w:t>
      </w:r>
      <w:r>
        <w:rPr>
          <w:rFonts w:hint="eastAsia"/>
        </w:rPr>
        <w:t>招标</w:t>
      </w:r>
      <w:r>
        <w:t>项目的</w:t>
      </w:r>
      <w:r>
        <w:rPr>
          <w:rFonts w:hint="eastAsia"/>
        </w:rPr>
        <w:t>建设</w:t>
      </w:r>
      <w:r>
        <w:t>地点：见</w:t>
      </w:r>
      <w:r>
        <w:rPr>
          <w:rFonts w:hint="eastAsia"/>
        </w:rPr>
        <w:t>投标人</w:t>
      </w:r>
      <w:r>
        <w:t>须知前附表。</w:t>
      </w:r>
    </w:p>
    <w:p w14:paraId="5D3601AD">
      <w:pPr>
        <w:spacing w:line="360" w:lineRule="auto"/>
        <w:ind w:firstLine="420" w:firstLineChars="200"/>
      </w:pPr>
      <w:r>
        <w:t>1.3.4本</w:t>
      </w:r>
      <w:r>
        <w:rPr>
          <w:rFonts w:hint="eastAsia"/>
        </w:rPr>
        <w:t>招标</w:t>
      </w:r>
      <w:r>
        <w:t>项目的质量要求</w:t>
      </w:r>
      <w:r>
        <w:rPr>
          <w:rFonts w:hint="eastAsia"/>
        </w:rPr>
        <w:t>及验收标准</w:t>
      </w:r>
      <w:r>
        <w:t>：见</w:t>
      </w:r>
      <w:r>
        <w:rPr>
          <w:rFonts w:hint="eastAsia"/>
        </w:rPr>
        <w:t>投标人</w:t>
      </w:r>
      <w:r>
        <w:t>须知前附表。</w:t>
      </w:r>
    </w:p>
    <w:p w14:paraId="7BEB251B">
      <w:pPr>
        <w:pStyle w:val="5"/>
        <w:spacing w:before="60" w:after="60" w:line="360" w:lineRule="auto"/>
        <w:ind w:firstLine="118"/>
        <w:rPr>
          <w:szCs w:val="24"/>
        </w:rPr>
      </w:pPr>
      <w:bookmarkStart w:id="92" w:name="_Toc13930"/>
      <w:bookmarkStart w:id="93" w:name="_Toc57041895"/>
      <w:bookmarkStart w:id="94" w:name="_Toc387526287"/>
      <w:bookmarkStart w:id="95" w:name="_Toc387526379"/>
      <w:bookmarkStart w:id="96" w:name="_Toc387526183"/>
      <w:r>
        <w:rPr>
          <w:szCs w:val="24"/>
        </w:rPr>
        <w:t xml:space="preserve">1.4 </w:t>
      </w:r>
      <w:r>
        <w:rPr>
          <w:rFonts w:hint="eastAsia"/>
          <w:szCs w:val="24"/>
        </w:rPr>
        <w:t>投标人</w:t>
      </w:r>
      <w:r>
        <w:rPr>
          <w:szCs w:val="24"/>
        </w:rPr>
        <w:t>资格要求</w:t>
      </w:r>
      <w:bookmarkEnd w:id="92"/>
      <w:bookmarkEnd w:id="93"/>
      <w:bookmarkEnd w:id="94"/>
      <w:bookmarkEnd w:id="95"/>
      <w:bookmarkEnd w:id="96"/>
    </w:p>
    <w:p w14:paraId="06FB8628">
      <w:pPr>
        <w:autoSpaceDE w:val="0"/>
        <w:autoSpaceDN w:val="0"/>
        <w:adjustRightInd w:val="0"/>
        <w:spacing w:line="360" w:lineRule="auto"/>
        <w:ind w:firstLine="420" w:firstLineChars="200"/>
        <w:jc w:val="left"/>
      </w:pPr>
      <w:r>
        <w:rPr>
          <w:rFonts w:hint="eastAsia"/>
        </w:rPr>
        <w:t>1.4.1 投标人应具备的资格要求见投标人须知前附表。</w:t>
      </w:r>
    </w:p>
    <w:p w14:paraId="7A565E0E">
      <w:pPr>
        <w:autoSpaceDE w:val="0"/>
        <w:autoSpaceDN w:val="0"/>
        <w:adjustRightInd w:val="0"/>
        <w:spacing w:line="360" w:lineRule="auto"/>
        <w:ind w:firstLine="420" w:firstLineChars="200"/>
        <w:jc w:val="left"/>
      </w:pPr>
      <w:r>
        <w:rPr>
          <w:rFonts w:hint="eastAsia"/>
        </w:rPr>
        <w:t>1.4.2 投标人须知前附表规定接受联合体投标的，除应符合本章第1.4.1项和投标人须知前附表的要求外，还应遵守以下规定：</w:t>
      </w:r>
    </w:p>
    <w:p w14:paraId="5E6341C2">
      <w:pPr>
        <w:autoSpaceDE w:val="0"/>
        <w:autoSpaceDN w:val="0"/>
        <w:adjustRightInd w:val="0"/>
        <w:spacing w:line="360" w:lineRule="auto"/>
        <w:ind w:firstLine="420" w:firstLineChars="200"/>
        <w:jc w:val="left"/>
      </w:pPr>
      <w:r>
        <w:rPr>
          <w:rFonts w:hint="eastAsia"/>
        </w:rPr>
        <w:t>（1）联合体各方应按招标文件提供的格式签订联合体协议书，明确联合体牵头人和各方的权利义务；</w:t>
      </w:r>
    </w:p>
    <w:p w14:paraId="20DEA74A">
      <w:pPr>
        <w:autoSpaceDE w:val="0"/>
        <w:autoSpaceDN w:val="0"/>
        <w:adjustRightInd w:val="0"/>
        <w:spacing w:line="360" w:lineRule="auto"/>
        <w:ind w:firstLine="420" w:firstLineChars="200"/>
        <w:jc w:val="left"/>
      </w:pPr>
      <w:r>
        <w:rPr>
          <w:rFonts w:hint="eastAsia"/>
        </w:rPr>
        <w:t>（2）由同一专业的单位组成的联合体，按照资质等级较低的单位确定资质等级；</w:t>
      </w:r>
    </w:p>
    <w:p w14:paraId="18C4865F">
      <w:pPr>
        <w:autoSpaceDE w:val="0"/>
        <w:autoSpaceDN w:val="0"/>
        <w:adjustRightInd w:val="0"/>
        <w:spacing w:line="360" w:lineRule="auto"/>
        <w:ind w:firstLine="420" w:firstLineChars="200"/>
        <w:jc w:val="left"/>
        <w:rPr>
          <w:rFonts w:ascii="TimesNewRomanPSMT" w:hAnsi="TimesNewRomanPSMT" w:cs="TimesNewRomanPSMT"/>
          <w:kern w:val="0"/>
          <w:sz w:val="24"/>
        </w:rPr>
      </w:pPr>
      <w:r>
        <w:rPr>
          <w:rFonts w:hint="eastAsia"/>
        </w:rPr>
        <w:t>（3）联合体各方不得再以自己名义单独或加入其他联合体在同一标段中参加投标</w:t>
      </w:r>
      <w:r>
        <w:rPr>
          <w:rFonts w:hint="eastAsia" w:ascii="TimesNewRomanPSMT" w:hAnsi="TimesNewRomanPSMT" w:cs="TimesNewRomanPSMT"/>
          <w:kern w:val="0"/>
          <w:sz w:val="24"/>
        </w:rPr>
        <w:t>。</w:t>
      </w:r>
    </w:p>
    <w:p w14:paraId="46639EBD">
      <w:pPr>
        <w:spacing w:line="360" w:lineRule="auto"/>
        <w:ind w:firstLine="420" w:firstLineChars="200"/>
        <w:rPr>
          <w:rFonts w:ascii="宋体" w:hAnsi="宋体"/>
          <w:szCs w:val="21"/>
        </w:rPr>
      </w:pPr>
      <w:r>
        <w:rPr>
          <w:rFonts w:hint="eastAsia" w:ascii="宋体" w:hAnsi="宋体"/>
          <w:szCs w:val="21"/>
        </w:rPr>
        <w:t xml:space="preserve">1.4.3 </w:t>
      </w:r>
      <w:r>
        <w:rPr>
          <w:rFonts w:hint="eastAsia"/>
        </w:rPr>
        <w:t>投标人</w:t>
      </w:r>
      <w:r>
        <w:rPr>
          <w:rFonts w:hint="eastAsia" w:ascii="宋体" w:hAnsi="宋体"/>
          <w:szCs w:val="21"/>
        </w:rPr>
        <w:t xml:space="preserve">不得存在下列情形之一： </w:t>
      </w:r>
    </w:p>
    <w:p w14:paraId="76CD8349">
      <w:pPr>
        <w:spacing w:line="360" w:lineRule="auto"/>
        <w:ind w:firstLine="420" w:firstLineChars="200"/>
        <w:rPr>
          <w:rFonts w:ascii="宋体" w:hAnsi="宋体"/>
          <w:szCs w:val="21"/>
        </w:rPr>
      </w:pPr>
      <w:bookmarkStart w:id="97" w:name="_Toc387526288"/>
      <w:bookmarkStart w:id="98" w:name="_Toc387526184"/>
      <w:bookmarkStart w:id="99" w:name="_Toc1684"/>
      <w:bookmarkStart w:id="100" w:name="_Toc387526380"/>
      <w:r>
        <w:rPr>
          <w:rFonts w:hint="eastAsia" w:ascii="宋体" w:hAnsi="宋体"/>
          <w:szCs w:val="21"/>
        </w:rPr>
        <w:t xml:space="preserve">（1）为招标人的附属机构（单位）； </w:t>
      </w:r>
    </w:p>
    <w:p w14:paraId="4532846D">
      <w:pPr>
        <w:spacing w:line="360" w:lineRule="auto"/>
        <w:ind w:firstLine="420" w:firstLineChars="200"/>
        <w:rPr>
          <w:rFonts w:ascii="宋体" w:hAnsi="宋体"/>
          <w:szCs w:val="21"/>
        </w:rPr>
      </w:pPr>
      <w:r>
        <w:rPr>
          <w:rFonts w:hint="eastAsia" w:ascii="宋体" w:hAnsi="宋体"/>
          <w:szCs w:val="21"/>
        </w:rPr>
        <w:t>（2）为本标段前期准备提供设计或咨询服务的，但两阶段招标的除外；</w:t>
      </w:r>
    </w:p>
    <w:p w14:paraId="3E0F1BA5">
      <w:pPr>
        <w:spacing w:line="360" w:lineRule="auto"/>
        <w:ind w:firstLine="420" w:firstLineChars="200"/>
        <w:rPr>
          <w:rFonts w:ascii="宋体" w:hAnsi="宋体"/>
          <w:szCs w:val="21"/>
        </w:rPr>
      </w:pPr>
      <w:r>
        <w:rPr>
          <w:rFonts w:hint="eastAsia" w:ascii="宋体" w:hAnsi="宋体"/>
          <w:szCs w:val="21"/>
        </w:rPr>
        <w:t xml:space="preserve">（3）为本标段的监理人； </w:t>
      </w:r>
    </w:p>
    <w:p w14:paraId="64A45ECF">
      <w:pPr>
        <w:spacing w:line="360" w:lineRule="auto"/>
        <w:ind w:firstLine="420" w:firstLineChars="200"/>
        <w:rPr>
          <w:rFonts w:ascii="宋体" w:hAnsi="宋体"/>
          <w:szCs w:val="21"/>
        </w:rPr>
      </w:pPr>
      <w:r>
        <w:rPr>
          <w:rFonts w:hint="eastAsia" w:ascii="宋体" w:hAnsi="宋体"/>
          <w:szCs w:val="21"/>
        </w:rPr>
        <w:t xml:space="preserve">（4）为本标段的代建人； </w:t>
      </w:r>
    </w:p>
    <w:p w14:paraId="10D60B30">
      <w:pPr>
        <w:spacing w:line="360" w:lineRule="auto"/>
        <w:ind w:firstLine="420" w:firstLineChars="200"/>
        <w:rPr>
          <w:rFonts w:ascii="宋体" w:hAnsi="宋体"/>
          <w:szCs w:val="21"/>
        </w:rPr>
      </w:pPr>
      <w:r>
        <w:rPr>
          <w:rFonts w:hint="eastAsia" w:ascii="宋体" w:hAnsi="宋体"/>
          <w:szCs w:val="21"/>
        </w:rPr>
        <w:t xml:space="preserve">（5）为本标段提供招标代理服务的； </w:t>
      </w:r>
    </w:p>
    <w:p w14:paraId="7E77D7B2">
      <w:pPr>
        <w:spacing w:line="360" w:lineRule="auto"/>
        <w:ind w:firstLine="420" w:firstLineChars="200"/>
        <w:rPr>
          <w:rFonts w:ascii="宋体" w:hAnsi="宋体"/>
          <w:szCs w:val="21"/>
        </w:rPr>
      </w:pPr>
      <w:r>
        <w:rPr>
          <w:rFonts w:hint="eastAsia" w:ascii="宋体" w:hAnsi="宋体"/>
          <w:szCs w:val="21"/>
        </w:rPr>
        <w:t xml:space="preserve">（6）与本标段的监理人或代建人或招标代理机构的单位负责人为同一个人的； </w:t>
      </w:r>
    </w:p>
    <w:p w14:paraId="569ACEC2">
      <w:pPr>
        <w:spacing w:line="360" w:lineRule="auto"/>
        <w:ind w:firstLine="420" w:firstLineChars="200"/>
        <w:rPr>
          <w:rFonts w:ascii="宋体" w:hAnsi="宋体"/>
          <w:szCs w:val="21"/>
        </w:rPr>
      </w:pPr>
      <w:r>
        <w:rPr>
          <w:rFonts w:hint="eastAsia" w:ascii="宋体" w:hAnsi="宋体"/>
          <w:szCs w:val="21"/>
        </w:rPr>
        <w:t xml:space="preserve">（7）与本标段的监理人或代建人或招标代理机构相互控股或参股的； </w:t>
      </w:r>
    </w:p>
    <w:p w14:paraId="0BFAD580">
      <w:pPr>
        <w:spacing w:line="360" w:lineRule="auto"/>
        <w:ind w:firstLine="420" w:firstLineChars="200"/>
        <w:rPr>
          <w:rFonts w:ascii="宋体" w:hAnsi="宋体"/>
          <w:szCs w:val="21"/>
        </w:rPr>
      </w:pPr>
      <w:r>
        <w:rPr>
          <w:rFonts w:hint="eastAsia" w:ascii="宋体" w:hAnsi="宋体"/>
          <w:szCs w:val="21"/>
        </w:rPr>
        <w:t>（8）与本标段的其他申请人的单位负责人为同一个人的；</w:t>
      </w:r>
    </w:p>
    <w:p w14:paraId="30DD4DFE">
      <w:pPr>
        <w:spacing w:line="360" w:lineRule="auto"/>
        <w:ind w:firstLine="420" w:firstLineChars="200"/>
        <w:rPr>
          <w:rFonts w:ascii="宋体" w:hAnsi="宋体"/>
          <w:szCs w:val="21"/>
        </w:rPr>
      </w:pPr>
      <w:r>
        <w:rPr>
          <w:rFonts w:hint="eastAsia" w:ascii="宋体" w:hAnsi="宋体"/>
          <w:szCs w:val="21"/>
        </w:rPr>
        <w:t>（9）与本标段的其他申请人之间存在控股、管理关系或母公司、全资子公司关系的；</w:t>
      </w:r>
    </w:p>
    <w:p w14:paraId="3505CF7B">
      <w:pPr>
        <w:spacing w:line="360" w:lineRule="auto"/>
        <w:ind w:firstLine="420" w:firstLineChars="200"/>
        <w:rPr>
          <w:rFonts w:ascii="宋体" w:hAnsi="宋体"/>
          <w:szCs w:val="21"/>
        </w:rPr>
      </w:pPr>
      <w:r>
        <w:rPr>
          <w:rFonts w:hint="eastAsia" w:ascii="宋体" w:hAnsi="宋体"/>
          <w:szCs w:val="21"/>
        </w:rPr>
        <w:t>（10）法律法规规定的其他情形。</w:t>
      </w:r>
    </w:p>
    <w:p w14:paraId="3AF58317">
      <w:pPr>
        <w:pStyle w:val="5"/>
        <w:spacing w:before="60" w:after="60" w:line="360" w:lineRule="auto"/>
        <w:ind w:firstLine="118"/>
        <w:rPr>
          <w:szCs w:val="24"/>
        </w:rPr>
      </w:pPr>
      <w:bookmarkStart w:id="101" w:name="_Toc57041896"/>
      <w:r>
        <w:rPr>
          <w:szCs w:val="24"/>
        </w:rPr>
        <w:t xml:space="preserve">1.5 </w:t>
      </w:r>
      <w:r>
        <w:rPr>
          <w:rFonts w:hint="eastAsia"/>
          <w:szCs w:val="24"/>
        </w:rPr>
        <w:t>费用承担</w:t>
      </w:r>
      <w:bookmarkEnd w:id="97"/>
      <w:bookmarkEnd w:id="98"/>
      <w:bookmarkEnd w:id="99"/>
      <w:bookmarkEnd w:id="100"/>
      <w:bookmarkEnd w:id="101"/>
    </w:p>
    <w:p w14:paraId="77B2E849">
      <w:pPr>
        <w:autoSpaceDE w:val="0"/>
        <w:autoSpaceDN w:val="0"/>
        <w:adjustRightInd w:val="0"/>
        <w:spacing w:line="360" w:lineRule="auto"/>
        <w:ind w:firstLine="420" w:firstLineChars="200"/>
        <w:jc w:val="left"/>
        <w:rPr>
          <w:rFonts w:eastAsia="黑体"/>
          <w:b/>
          <w:szCs w:val="21"/>
        </w:rPr>
      </w:pPr>
      <w:r>
        <w:rPr>
          <w:rFonts w:hint="eastAsia" w:ascii="宋体" w:hAnsi="TimesNewRomanPSMT" w:cs="宋体"/>
          <w:kern w:val="0"/>
          <w:szCs w:val="21"/>
        </w:rPr>
        <w:t>投标人准备和参加投标活动发生的费用自理。</w:t>
      </w:r>
    </w:p>
    <w:p w14:paraId="25863E0B">
      <w:pPr>
        <w:pStyle w:val="5"/>
        <w:spacing w:before="60" w:after="60" w:line="360" w:lineRule="auto"/>
        <w:ind w:firstLine="118"/>
        <w:rPr>
          <w:szCs w:val="24"/>
        </w:rPr>
      </w:pPr>
      <w:bookmarkStart w:id="102" w:name="_Toc5130"/>
      <w:bookmarkStart w:id="103" w:name="_Toc387526289"/>
      <w:bookmarkStart w:id="104" w:name="_Toc387526185"/>
      <w:bookmarkStart w:id="105" w:name="_Toc57041897"/>
      <w:bookmarkStart w:id="106" w:name="_Toc387526381"/>
      <w:r>
        <w:rPr>
          <w:szCs w:val="24"/>
        </w:rPr>
        <w:t>1.6 保密</w:t>
      </w:r>
      <w:bookmarkEnd w:id="102"/>
      <w:bookmarkEnd w:id="103"/>
      <w:bookmarkEnd w:id="104"/>
      <w:bookmarkEnd w:id="105"/>
      <w:bookmarkEnd w:id="106"/>
    </w:p>
    <w:p w14:paraId="2A06F9D9">
      <w:pPr>
        <w:spacing w:line="360" w:lineRule="auto"/>
        <w:ind w:firstLine="420" w:firstLineChars="200"/>
        <w:rPr>
          <w:szCs w:val="21"/>
        </w:rPr>
      </w:pPr>
      <w:r>
        <w:rPr>
          <w:szCs w:val="21"/>
        </w:rPr>
        <w:t>参与</w:t>
      </w:r>
      <w:r>
        <w:rPr>
          <w:rFonts w:hint="eastAsia"/>
          <w:szCs w:val="21"/>
        </w:rPr>
        <w:t>招标</w:t>
      </w:r>
      <w:r>
        <w:rPr>
          <w:szCs w:val="21"/>
        </w:rPr>
        <w:t>投标活动的各方应对</w:t>
      </w:r>
      <w:r>
        <w:rPr>
          <w:rFonts w:hint="eastAsia"/>
          <w:szCs w:val="21"/>
        </w:rPr>
        <w:t>招标文件</w:t>
      </w:r>
      <w:r>
        <w:rPr>
          <w:szCs w:val="21"/>
        </w:rPr>
        <w:t>和</w:t>
      </w:r>
      <w:r>
        <w:rPr>
          <w:rFonts w:hint="eastAsia"/>
          <w:szCs w:val="21"/>
        </w:rPr>
        <w:t>投标文件</w:t>
      </w:r>
      <w:r>
        <w:rPr>
          <w:szCs w:val="21"/>
        </w:rPr>
        <w:t>中的商业和技术等秘密保密，违者应对由此造成的后果承担法律责任。</w:t>
      </w:r>
    </w:p>
    <w:p w14:paraId="68ABC91B">
      <w:pPr>
        <w:pStyle w:val="5"/>
        <w:spacing w:before="60" w:after="60" w:line="360" w:lineRule="auto"/>
        <w:ind w:firstLine="118"/>
        <w:rPr>
          <w:szCs w:val="24"/>
        </w:rPr>
      </w:pPr>
      <w:bookmarkStart w:id="107" w:name="_Toc387526382"/>
      <w:bookmarkStart w:id="108" w:name="_Toc822"/>
      <w:bookmarkStart w:id="109" w:name="_Toc387526186"/>
      <w:bookmarkStart w:id="110" w:name="_Toc387526290"/>
      <w:bookmarkStart w:id="111" w:name="_Toc57041898"/>
      <w:r>
        <w:rPr>
          <w:szCs w:val="24"/>
        </w:rPr>
        <w:t>1.7 语言文字</w:t>
      </w:r>
      <w:bookmarkEnd w:id="107"/>
      <w:bookmarkEnd w:id="108"/>
      <w:bookmarkEnd w:id="109"/>
      <w:bookmarkEnd w:id="110"/>
      <w:bookmarkEnd w:id="111"/>
    </w:p>
    <w:p w14:paraId="214EF165">
      <w:pPr>
        <w:spacing w:line="360" w:lineRule="auto"/>
        <w:ind w:firstLine="420" w:firstLineChars="200"/>
        <w:rPr>
          <w:szCs w:val="21"/>
        </w:rPr>
      </w:pPr>
      <w:r>
        <w:rPr>
          <w:szCs w:val="21"/>
        </w:rPr>
        <w:t>除专用术语外，与</w:t>
      </w:r>
      <w:r>
        <w:rPr>
          <w:rFonts w:hint="eastAsia"/>
          <w:szCs w:val="21"/>
        </w:rPr>
        <w:t>招标</w:t>
      </w:r>
      <w:r>
        <w:rPr>
          <w:szCs w:val="21"/>
        </w:rPr>
        <w:t>投标有关的语言均使用中文。必要时专用术语应附有中文注释。</w:t>
      </w:r>
    </w:p>
    <w:p w14:paraId="6C8F6856">
      <w:pPr>
        <w:pStyle w:val="5"/>
        <w:spacing w:before="60" w:after="60" w:line="360" w:lineRule="auto"/>
        <w:ind w:firstLine="118"/>
        <w:rPr>
          <w:szCs w:val="24"/>
        </w:rPr>
      </w:pPr>
      <w:bookmarkStart w:id="112" w:name="_Toc57041899"/>
      <w:bookmarkStart w:id="113" w:name="_Toc387526383"/>
      <w:bookmarkStart w:id="114" w:name="_Toc387526187"/>
      <w:bookmarkStart w:id="115" w:name="_Toc31413"/>
      <w:bookmarkStart w:id="116" w:name="_Toc387526291"/>
      <w:r>
        <w:rPr>
          <w:szCs w:val="24"/>
        </w:rPr>
        <w:t>1.8 计量单位</w:t>
      </w:r>
      <w:bookmarkEnd w:id="112"/>
      <w:bookmarkEnd w:id="113"/>
      <w:bookmarkEnd w:id="114"/>
      <w:bookmarkEnd w:id="115"/>
      <w:bookmarkEnd w:id="116"/>
    </w:p>
    <w:p w14:paraId="54A2915E">
      <w:pPr>
        <w:spacing w:line="360" w:lineRule="auto"/>
        <w:ind w:firstLine="420" w:firstLineChars="200"/>
        <w:rPr>
          <w:szCs w:val="21"/>
        </w:rPr>
      </w:pPr>
      <w:r>
        <w:rPr>
          <w:szCs w:val="21"/>
        </w:rPr>
        <w:t>所有计量均采用中华人民共和国法定计量单位。</w:t>
      </w:r>
    </w:p>
    <w:p w14:paraId="7BAFB32A">
      <w:pPr>
        <w:pStyle w:val="5"/>
        <w:spacing w:before="60" w:after="60" w:line="360" w:lineRule="auto"/>
        <w:ind w:firstLine="118"/>
        <w:rPr>
          <w:szCs w:val="24"/>
        </w:rPr>
      </w:pPr>
      <w:bookmarkStart w:id="117" w:name="_Toc57041900"/>
      <w:bookmarkStart w:id="118" w:name="_Toc387526292"/>
      <w:bookmarkStart w:id="119" w:name="_Toc387526384"/>
      <w:bookmarkStart w:id="120" w:name="_Toc25122"/>
      <w:bookmarkStart w:id="121" w:name="_Toc387526188"/>
      <w:r>
        <w:rPr>
          <w:szCs w:val="24"/>
        </w:rPr>
        <w:t>1.9 踏勘现场</w:t>
      </w:r>
      <w:bookmarkEnd w:id="117"/>
      <w:bookmarkEnd w:id="118"/>
      <w:bookmarkEnd w:id="119"/>
      <w:bookmarkEnd w:id="120"/>
      <w:bookmarkEnd w:id="121"/>
    </w:p>
    <w:p w14:paraId="1E79414E">
      <w:pPr>
        <w:autoSpaceDE w:val="0"/>
        <w:autoSpaceDN w:val="0"/>
        <w:adjustRightInd w:val="0"/>
        <w:spacing w:line="360" w:lineRule="auto"/>
        <w:ind w:firstLine="420" w:firstLineChars="200"/>
        <w:jc w:val="left"/>
        <w:rPr>
          <w:rFonts w:ascii="宋体" w:hAnsi="宋体" w:cs="宋体"/>
          <w:kern w:val="0"/>
          <w:szCs w:val="21"/>
        </w:rPr>
      </w:pPr>
      <w:r>
        <w:rPr>
          <w:rFonts w:hint="eastAsia" w:ascii="宋体" w:hAnsi="宋体" w:cs="宋体"/>
          <w:kern w:val="0"/>
          <w:szCs w:val="21"/>
        </w:rPr>
        <w:t>1.9.1招标人不组织投标人踏勘现场，投标人可以自行对工程施工现场和周围环境进行勘察，以获取编制投标文件和签署合同所需的所有资料。施工现场的联系方式见须知前附表。</w:t>
      </w:r>
    </w:p>
    <w:p w14:paraId="2CCB084E">
      <w:pPr>
        <w:autoSpaceDE w:val="0"/>
        <w:autoSpaceDN w:val="0"/>
        <w:adjustRightInd w:val="0"/>
        <w:spacing w:line="360" w:lineRule="auto"/>
        <w:ind w:firstLine="420" w:firstLineChars="200"/>
        <w:jc w:val="left"/>
        <w:rPr>
          <w:rFonts w:ascii="宋体" w:hAnsi="宋体" w:cs="宋体"/>
          <w:kern w:val="0"/>
          <w:szCs w:val="21"/>
        </w:rPr>
      </w:pPr>
      <w:r>
        <w:rPr>
          <w:rFonts w:hint="eastAsia" w:ascii="宋体" w:hAnsi="宋体" w:cs="宋体"/>
          <w:kern w:val="0"/>
          <w:szCs w:val="21"/>
        </w:rPr>
        <w:t>1.9.2 投标人踏勘现场发生的费用自理。</w:t>
      </w:r>
    </w:p>
    <w:p w14:paraId="040A704E">
      <w:pPr>
        <w:autoSpaceDE w:val="0"/>
        <w:autoSpaceDN w:val="0"/>
        <w:adjustRightInd w:val="0"/>
        <w:spacing w:line="360" w:lineRule="auto"/>
        <w:ind w:firstLine="420" w:firstLineChars="200"/>
        <w:jc w:val="left"/>
        <w:rPr>
          <w:rFonts w:ascii="宋体" w:hAnsi="宋体" w:cs="宋体"/>
          <w:kern w:val="0"/>
          <w:szCs w:val="21"/>
        </w:rPr>
      </w:pPr>
      <w:r>
        <w:rPr>
          <w:rFonts w:hint="eastAsia" w:ascii="宋体" w:hAnsi="宋体" w:cs="宋体"/>
          <w:kern w:val="0"/>
          <w:szCs w:val="21"/>
        </w:rPr>
        <w:t>1.9.3 除招标人的原因外，投标人自行负责在踏勘现场中所发生的人员伤亡和财产损失。</w:t>
      </w:r>
    </w:p>
    <w:p w14:paraId="1F831D41">
      <w:pPr>
        <w:autoSpaceDE w:val="0"/>
        <w:autoSpaceDN w:val="0"/>
        <w:adjustRightInd w:val="0"/>
        <w:spacing w:line="360" w:lineRule="auto"/>
        <w:ind w:firstLine="420" w:firstLineChars="200"/>
        <w:jc w:val="left"/>
        <w:rPr>
          <w:rFonts w:ascii="宋体" w:hAnsi="宋体" w:cs="宋体"/>
          <w:kern w:val="0"/>
          <w:szCs w:val="21"/>
        </w:rPr>
      </w:pPr>
      <w:r>
        <w:rPr>
          <w:rFonts w:hint="eastAsia" w:ascii="宋体" w:hAnsi="宋体" w:cs="宋体"/>
          <w:kern w:val="0"/>
          <w:szCs w:val="21"/>
        </w:rPr>
        <w:t>1.9.4 招标人向投标人提供的有关施工现场的资料和数据是招标人现有的能使投标人利用的资料。招标人对投标人由此而做出的推论、理解和结论概不负责。</w:t>
      </w:r>
    </w:p>
    <w:p w14:paraId="040613F1">
      <w:pPr>
        <w:pStyle w:val="5"/>
        <w:spacing w:before="60" w:after="60" w:line="360" w:lineRule="auto"/>
        <w:ind w:firstLine="118"/>
        <w:rPr>
          <w:szCs w:val="24"/>
        </w:rPr>
      </w:pPr>
      <w:bookmarkStart w:id="122" w:name="_Toc387526385"/>
      <w:bookmarkStart w:id="123" w:name="_Toc387526293"/>
      <w:bookmarkStart w:id="124" w:name="_Toc57041901"/>
      <w:bookmarkStart w:id="125" w:name="_Toc387526189"/>
      <w:bookmarkStart w:id="126" w:name="_Toc11088"/>
      <w:r>
        <w:rPr>
          <w:szCs w:val="24"/>
        </w:rPr>
        <w:t>1.10 投标预备会</w:t>
      </w:r>
      <w:bookmarkEnd w:id="122"/>
      <w:bookmarkEnd w:id="123"/>
      <w:bookmarkEnd w:id="124"/>
      <w:bookmarkEnd w:id="125"/>
      <w:bookmarkEnd w:id="126"/>
    </w:p>
    <w:p w14:paraId="7837C968">
      <w:pPr>
        <w:spacing w:line="360" w:lineRule="auto"/>
        <w:ind w:firstLine="420" w:firstLineChars="200"/>
        <w:rPr>
          <w:szCs w:val="21"/>
        </w:rPr>
      </w:pPr>
      <w:r>
        <w:rPr>
          <w:rFonts w:hint="eastAsia"/>
          <w:szCs w:val="21"/>
        </w:rPr>
        <w:t>1.10.1 投标人须知前附表规定召开投标预备会的，招标人按投标人须知前附表规定的时间和地点召开投标预备会，澄清投标人提出的问题。</w:t>
      </w:r>
    </w:p>
    <w:p w14:paraId="0F369837">
      <w:pPr>
        <w:spacing w:line="360" w:lineRule="auto"/>
        <w:ind w:firstLine="420" w:firstLineChars="200"/>
        <w:rPr>
          <w:szCs w:val="21"/>
        </w:rPr>
      </w:pPr>
      <w:r>
        <w:rPr>
          <w:rFonts w:hint="eastAsia"/>
          <w:szCs w:val="21"/>
        </w:rPr>
        <w:t>1.10.2 投标人应在投标人须知前附表规定的时间前，以书面形式将提出的问题送达招标人，以便招标人在会议期间澄清。</w:t>
      </w:r>
    </w:p>
    <w:p w14:paraId="3C7A2C27">
      <w:pPr>
        <w:spacing w:line="360" w:lineRule="auto"/>
        <w:ind w:firstLine="420" w:firstLineChars="200"/>
        <w:rPr>
          <w:szCs w:val="21"/>
        </w:rPr>
      </w:pPr>
      <w:r>
        <w:rPr>
          <w:rFonts w:hint="eastAsia"/>
          <w:szCs w:val="21"/>
        </w:rPr>
        <w:t>1.10.3 投标预备会后，招标人在投标人须知前附表规定的时间内，将对投标人所提问题澄清，以书面方式通知所有购买招标文件的投标人。该澄清内容为招标文件的组成部分。</w:t>
      </w:r>
    </w:p>
    <w:p w14:paraId="35FCBA85">
      <w:pPr>
        <w:pStyle w:val="5"/>
        <w:spacing w:before="60" w:after="60" w:line="360" w:lineRule="auto"/>
        <w:ind w:firstLine="118"/>
        <w:rPr>
          <w:szCs w:val="24"/>
        </w:rPr>
      </w:pPr>
      <w:bookmarkStart w:id="127" w:name="_Toc387526190"/>
      <w:bookmarkStart w:id="128" w:name="_Toc57041902"/>
      <w:bookmarkStart w:id="129" w:name="_Toc387526386"/>
      <w:bookmarkStart w:id="130" w:name="_Toc387526294"/>
      <w:bookmarkStart w:id="131" w:name="_Toc366679673"/>
      <w:bookmarkStart w:id="132" w:name="_Toc21970"/>
      <w:bookmarkStart w:id="133" w:name="_Toc363329371"/>
      <w:bookmarkStart w:id="134" w:name="_Toc367894799"/>
      <w:r>
        <w:rPr>
          <w:szCs w:val="24"/>
        </w:rPr>
        <w:t>1.11 偏离</w:t>
      </w:r>
      <w:bookmarkEnd w:id="127"/>
      <w:bookmarkEnd w:id="128"/>
      <w:bookmarkEnd w:id="129"/>
      <w:bookmarkEnd w:id="130"/>
      <w:bookmarkEnd w:id="131"/>
      <w:bookmarkEnd w:id="132"/>
    </w:p>
    <w:p w14:paraId="3B8C5ECD">
      <w:pPr>
        <w:spacing w:line="360" w:lineRule="auto"/>
        <w:ind w:firstLine="420" w:firstLineChars="200"/>
        <w:rPr>
          <w:szCs w:val="21"/>
        </w:rPr>
      </w:pPr>
      <w:r>
        <w:rPr>
          <w:rFonts w:hint="eastAsia"/>
          <w:szCs w:val="21"/>
        </w:rPr>
        <w:t>投标人</w:t>
      </w:r>
      <w:r>
        <w:rPr>
          <w:szCs w:val="21"/>
        </w:rPr>
        <w:t>须知前附表允许</w:t>
      </w:r>
      <w:r>
        <w:rPr>
          <w:rFonts w:hint="eastAsia"/>
          <w:szCs w:val="21"/>
        </w:rPr>
        <w:t>投标文件</w:t>
      </w:r>
      <w:r>
        <w:rPr>
          <w:szCs w:val="21"/>
        </w:rPr>
        <w:t>偏离</w:t>
      </w:r>
      <w:r>
        <w:rPr>
          <w:rFonts w:hint="eastAsia"/>
          <w:szCs w:val="21"/>
        </w:rPr>
        <w:t>招标文件</w:t>
      </w:r>
      <w:r>
        <w:rPr>
          <w:szCs w:val="21"/>
        </w:rPr>
        <w:t>某些要求的，偏离应当符合</w:t>
      </w:r>
      <w:r>
        <w:rPr>
          <w:rFonts w:hint="eastAsia"/>
          <w:szCs w:val="21"/>
        </w:rPr>
        <w:t>招标文件</w:t>
      </w:r>
      <w:r>
        <w:rPr>
          <w:szCs w:val="21"/>
        </w:rPr>
        <w:t>规定的偏离范围和幅度。</w:t>
      </w:r>
    </w:p>
    <w:p w14:paraId="131DBA30">
      <w:pPr>
        <w:pStyle w:val="112"/>
        <w:rPr>
          <w:color w:val="auto"/>
        </w:rPr>
      </w:pPr>
      <w:bookmarkStart w:id="135" w:name="_Toc387526295"/>
      <w:bookmarkStart w:id="136" w:name="_Toc387526191"/>
      <w:bookmarkStart w:id="137" w:name="_Toc387526387"/>
      <w:bookmarkStart w:id="138" w:name="_Toc30422"/>
      <w:bookmarkStart w:id="139" w:name="_Toc369077562"/>
      <w:bookmarkStart w:id="140" w:name="_Toc368759376"/>
      <w:bookmarkStart w:id="141" w:name="_Toc368760428"/>
      <w:bookmarkStart w:id="142" w:name="_Toc57041903"/>
      <w:r>
        <w:rPr>
          <w:color w:val="auto"/>
        </w:rPr>
        <w:t>2.</w:t>
      </w:r>
      <w:bookmarkEnd w:id="133"/>
      <w:bookmarkEnd w:id="134"/>
      <w:bookmarkEnd w:id="135"/>
      <w:bookmarkEnd w:id="136"/>
      <w:bookmarkEnd w:id="137"/>
      <w:bookmarkEnd w:id="138"/>
      <w:bookmarkEnd w:id="139"/>
      <w:bookmarkEnd w:id="140"/>
      <w:bookmarkEnd w:id="141"/>
      <w:r>
        <w:rPr>
          <w:rFonts w:hint="eastAsia"/>
          <w:color w:val="auto"/>
        </w:rPr>
        <w:t>招标文件</w:t>
      </w:r>
      <w:bookmarkEnd w:id="142"/>
    </w:p>
    <w:p w14:paraId="767C8380">
      <w:pPr>
        <w:pStyle w:val="5"/>
        <w:spacing w:before="60" w:after="60" w:line="360" w:lineRule="auto"/>
        <w:ind w:firstLine="118"/>
        <w:rPr>
          <w:szCs w:val="24"/>
        </w:rPr>
      </w:pPr>
      <w:bookmarkStart w:id="143" w:name="_Toc57041904"/>
      <w:bookmarkStart w:id="144" w:name="_Toc387526388"/>
      <w:bookmarkStart w:id="145" w:name="_Toc387526296"/>
      <w:bookmarkStart w:id="146" w:name="_Toc23070"/>
      <w:bookmarkStart w:id="147" w:name="_Toc387526192"/>
      <w:r>
        <w:rPr>
          <w:szCs w:val="24"/>
        </w:rPr>
        <w:t>2.1</w:t>
      </w:r>
      <w:r>
        <w:rPr>
          <w:rFonts w:hint="eastAsia"/>
          <w:szCs w:val="24"/>
        </w:rPr>
        <w:t xml:space="preserve"> 招标文件</w:t>
      </w:r>
      <w:r>
        <w:rPr>
          <w:szCs w:val="24"/>
        </w:rPr>
        <w:t>组成</w:t>
      </w:r>
      <w:bookmarkEnd w:id="143"/>
      <w:bookmarkEnd w:id="144"/>
      <w:bookmarkEnd w:id="145"/>
      <w:bookmarkEnd w:id="146"/>
      <w:bookmarkEnd w:id="147"/>
    </w:p>
    <w:p w14:paraId="21CDAAF5">
      <w:pPr>
        <w:shd w:val="clear" w:color="auto" w:fill="FFFFFF"/>
        <w:autoSpaceDE w:val="0"/>
        <w:autoSpaceDN w:val="0"/>
        <w:adjustRightInd w:val="0"/>
        <w:spacing w:line="360" w:lineRule="auto"/>
        <w:ind w:firstLine="420" w:firstLineChars="200"/>
        <w:jc w:val="left"/>
        <w:rPr>
          <w:szCs w:val="21"/>
        </w:rPr>
      </w:pPr>
      <w:r>
        <w:rPr>
          <w:szCs w:val="21"/>
        </w:rPr>
        <w:t>2.1.1 本</w:t>
      </w:r>
      <w:r>
        <w:rPr>
          <w:rFonts w:hint="eastAsia"/>
          <w:szCs w:val="21"/>
        </w:rPr>
        <w:t>招标文件</w:t>
      </w:r>
      <w:r>
        <w:rPr>
          <w:szCs w:val="21"/>
        </w:rPr>
        <w:t>包括：</w:t>
      </w:r>
    </w:p>
    <w:p w14:paraId="6A242A61">
      <w:pPr>
        <w:spacing w:line="360" w:lineRule="auto"/>
        <w:ind w:firstLine="420" w:firstLineChars="200"/>
      </w:pPr>
      <w:r>
        <w:rPr>
          <w:rFonts w:hint="eastAsia"/>
        </w:rPr>
        <w:t>（1）招标公告</w:t>
      </w:r>
      <w:r>
        <w:t>；</w:t>
      </w:r>
    </w:p>
    <w:p w14:paraId="087ABFFB">
      <w:pPr>
        <w:spacing w:line="360" w:lineRule="auto"/>
        <w:ind w:firstLine="420" w:firstLineChars="200"/>
      </w:pPr>
      <w:r>
        <w:rPr>
          <w:rFonts w:hint="eastAsia"/>
        </w:rPr>
        <w:t>（2）投标人</w:t>
      </w:r>
      <w:r>
        <w:t>须知；</w:t>
      </w:r>
    </w:p>
    <w:p w14:paraId="6823B382">
      <w:pPr>
        <w:spacing w:line="360" w:lineRule="auto"/>
        <w:ind w:firstLine="420" w:firstLineChars="200"/>
      </w:pPr>
      <w:r>
        <w:rPr>
          <w:rFonts w:hint="eastAsia"/>
        </w:rPr>
        <w:t>（3）评审</w:t>
      </w:r>
      <w:r>
        <w:t>办法；</w:t>
      </w:r>
    </w:p>
    <w:p w14:paraId="3CAA6C53">
      <w:pPr>
        <w:spacing w:line="360" w:lineRule="auto"/>
        <w:ind w:firstLine="420" w:firstLineChars="200"/>
      </w:pPr>
      <w:r>
        <w:rPr>
          <w:rFonts w:hint="eastAsia"/>
        </w:rPr>
        <w:t>（4）</w:t>
      </w:r>
      <w:r>
        <w:t>合同条款及格式；</w:t>
      </w:r>
    </w:p>
    <w:p w14:paraId="710A8DC8">
      <w:pPr>
        <w:spacing w:line="360" w:lineRule="auto"/>
        <w:ind w:firstLine="420" w:firstLineChars="200"/>
      </w:pPr>
      <w:r>
        <w:rPr>
          <w:rFonts w:hint="eastAsia"/>
        </w:rPr>
        <w:t>（5）投标文件</w:t>
      </w:r>
      <w:r>
        <w:t>格式；</w:t>
      </w:r>
    </w:p>
    <w:p w14:paraId="3CEE257F">
      <w:pPr>
        <w:spacing w:line="360" w:lineRule="auto"/>
        <w:ind w:firstLine="420" w:firstLineChars="200"/>
      </w:pPr>
      <w:r>
        <w:rPr>
          <w:rFonts w:hint="eastAsia"/>
        </w:rPr>
        <w:t>（6）投标人</w:t>
      </w:r>
      <w:r>
        <w:t>须知前附表规定的其他材料。</w:t>
      </w:r>
    </w:p>
    <w:p w14:paraId="17214C16">
      <w:pPr>
        <w:spacing w:line="360" w:lineRule="auto"/>
        <w:ind w:firstLine="420" w:firstLineChars="200"/>
      </w:pPr>
      <w:r>
        <w:rPr>
          <w:rFonts w:hint="eastAsia"/>
        </w:rPr>
        <w:t>2.1.2根据本章第1.10款、第2.2款和第2.3款对招标文件所作的澄清、修改，构成招标文件的组成部分。当招标文件相互之间发生矛盾时，以后发出的文件为准。</w:t>
      </w:r>
    </w:p>
    <w:p w14:paraId="73709E63">
      <w:pPr>
        <w:pStyle w:val="5"/>
        <w:spacing w:before="60" w:after="60" w:line="360" w:lineRule="auto"/>
        <w:ind w:firstLine="118"/>
        <w:rPr>
          <w:szCs w:val="24"/>
        </w:rPr>
      </w:pPr>
      <w:bookmarkStart w:id="148" w:name="_Toc387526297"/>
      <w:bookmarkStart w:id="149" w:name="_Toc179632562"/>
      <w:bookmarkStart w:id="150" w:name="_Toc246996189"/>
      <w:bookmarkStart w:id="151" w:name="_Toc246996932"/>
      <w:bookmarkStart w:id="152" w:name="_Toc57041905"/>
      <w:bookmarkStart w:id="153" w:name="_Toc387526193"/>
      <w:bookmarkStart w:id="154" w:name="_Toc387526389"/>
      <w:bookmarkStart w:id="155" w:name="_Toc366679676"/>
      <w:bookmarkStart w:id="156" w:name="_Toc9593"/>
      <w:bookmarkStart w:id="157" w:name="_Toc247085703"/>
      <w:bookmarkStart w:id="158" w:name="_Toc152045544"/>
      <w:bookmarkStart w:id="159" w:name="_Toc144974512"/>
      <w:bookmarkStart w:id="160" w:name="_Toc152042320"/>
      <w:r>
        <w:rPr>
          <w:szCs w:val="24"/>
        </w:rPr>
        <w:t xml:space="preserve">2.2 </w:t>
      </w:r>
      <w:r>
        <w:rPr>
          <w:rFonts w:hint="eastAsia"/>
          <w:szCs w:val="24"/>
        </w:rPr>
        <w:t>招标文件</w:t>
      </w:r>
      <w:r>
        <w:rPr>
          <w:szCs w:val="24"/>
        </w:rPr>
        <w:t>的澄清</w:t>
      </w:r>
      <w:bookmarkEnd w:id="148"/>
      <w:bookmarkEnd w:id="149"/>
      <w:bookmarkEnd w:id="150"/>
      <w:bookmarkEnd w:id="151"/>
      <w:bookmarkEnd w:id="152"/>
      <w:bookmarkEnd w:id="153"/>
      <w:bookmarkEnd w:id="154"/>
      <w:bookmarkEnd w:id="155"/>
      <w:bookmarkEnd w:id="156"/>
      <w:bookmarkEnd w:id="157"/>
      <w:bookmarkEnd w:id="158"/>
      <w:bookmarkEnd w:id="159"/>
      <w:bookmarkEnd w:id="160"/>
      <w:r>
        <w:rPr>
          <w:szCs w:val="24"/>
        </w:rPr>
        <w:t xml:space="preserve"> </w:t>
      </w:r>
    </w:p>
    <w:p w14:paraId="42793739">
      <w:pPr>
        <w:shd w:val="clear" w:color="auto" w:fill="FFFFFF"/>
        <w:autoSpaceDE w:val="0"/>
        <w:autoSpaceDN w:val="0"/>
        <w:adjustRightInd w:val="0"/>
        <w:spacing w:line="360" w:lineRule="auto"/>
        <w:ind w:firstLine="420" w:firstLineChars="200"/>
        <w:jc w:val="left"/>
        <w:rPr>
          <w:szCs w:val="21"/>
        </w:rPr>
      </w:pPr>
      <w:r>
        <w:rPr>
          <w:rFonts w:hint="eastAsia"/>
          <w:szCs w:val="21"/>
        </w:rPr>
        <w:t>2.2.1 投标人应仔细阅读和检查招标文件的全部内容。如发现缺页或附件不全，应及时向招标人提出，以便补齐。如有疑问，应在投标人须知前附表规定的时间前以书面形式要求招标人对招标文件予以澄清。</w:t>
      </w:r>
    </w:p>
    <w:p w14:paraId="3F4857E7">
      <w:pPr>
        <w:shd w:val="clear" w:color="auto" w:fill="FFFFFF"/>
        <w:autoSpaceDE w:val="0"/>
        <w:autoSpaceDN w:val="0"/>
        <w:adjustRightInd w:val="0"/>
        <w:spacing w:line="360" w:lineRule="auto"/>
        <w:ind w:firstLine="420" w:firstLineChars="200"/>
        <w:jc w:val="left"/>
        <w:rPr>
          <w:szCs w:val="21"/>
        </w:rPr>
      </w:pPr>
      <w:r>
        <w:rPr>
          <w:rFonts w:hint="eastAsia"/>
          <w:szCs w:val="21"/>
        </w:rPr>
        <w:t>2.2.2 招标文件的澄清将在投标人须知前附表规定的投标文件递交截止时间3天前以书面形式发给所有购买招标文件的投标人，但不指明澄清问题的来源。如果澄清发出的时间距投标文件递交截止时间不足3天，且澄清内容影响投标文件编制的，相应延长投标文件递交截止时间。</w:t>
      </w:r>
    </w:p>
    <w:p w14:paraId="55611CB9">
      <w:pPr>
        <w:pStyle w:val="5"/>
        <w:spacing w:before="60" w:after="60" w:line="360" w:lineRule="auto"/>
        <w:ind w:firstLine="118"/>
        <w:rPr>
          <w:szCs w:val="24"/>
        </w:rPr>
      </w:pPr>
      <w:bookmarkStart w:id="161" w:name="_Toc387526194"/>
      <w:bookmarkStart w:id="162" w:name="_Toc247085704"/>
      <w:bookmarkStart w:id="163" w:name="_Toc57041906"/>
      <w:bookmarkStart w:id="164" w:name="_Toc246996190"/>
      <w:bookmarkStart w:id="165" w:name="_Toc179632563"/>
      <w:bookmarkStart w:id="166" w:name="_Toc387526298"/>
      <w:bookmarkStart w:id="167" w:name="_Toc19263"/>
      <w:bookmarkStart w:id="168" w:name="_Toc246996933"/>
      <w:bookmarkStart w:id="169" w:name="_Toc366679677"/>
      <w:bookmarkStart w:id="170" w:name="_Toc387526390"/>
      <w:r>
        <w:rPr>
          <w:szCs w:val="24"/>
        </w:rPr>
        <w:t xml:space="preserve">2.3 </w:t>
      </w:r>
      <w:r>
        <w:rPr>
          <w:rFonts w:hint="eastAsia"/>
          <w:szCs w:val="24"/>
        </w:rPr>
        <w:t>招标文件</w:t>
      </w:r>
      <w:r>
        <w:rPr>
          <w:szCs w:val="24"/>
        </w:rPr>
        <w:t>的修改</w:t>
      </w:r>
      <w:bookmarkEnd w:id="161"/>
      <w:bookmarkEnd w:id="162"/>
      <w:bookmarkEnd w:id="163"/>
      <w:bookmarkEnd w:id="164"/>
      <w:bookmarkEnd w:id="165"/>
      <w:bookmarkEnd w:id="166"/>
      <w:bookmarkEnd w:id="167"/>
      <w:bookmarkEnd w:id="168"/>
      <w:bookmarkEnd w:id="169"/>
      <w:bookmarkEnd w:id="170"/>
    </w:p>
    <w:p w14:paraId="0997BCF4">
      <w:pPr>
        <w:shd w:val="clear" w:color="auto" w:fill="FFFFFF"/>
        <w:autoSpaceDE w:val="0"/>
        <w:autoSpaceDN w:val="0"/>
        <w:adjustRightInd w:val="0"/>
        <w:spacing w:line="360" w:lineRule="auto"/>
        <w:ind w:firstLine="420" w:firstLineChars="200"/>
        <w:jc w:val="left"/>
        <w:rPr>
          <w:szCs w:val="21"/>
        </w:rPr>
      </w:pPr>
      <w:r>
        <w:rPr>
          <w:rFonts w:hint="eastAsia"/>
          <w:szCs w:val="21"/>
        </w:rPr>
        <w:t>2.3.1 在投标文件递交截止时间3天前，招标人可以以书面形式修改招标文件，并通知所有已购买招标文件的投标人。如果修改招标文件的时间距投标文件递交截止时间不足3天，且修改内容影响投标文件编制的，相应延长投标文件递交截止时间。</w:t>
      </w:r>
    </w:p>
    <w:p w14:paraId="1D3884A8">
      <w:pPr>
        <w:tabs>
          <w:tab w:val="left" w:pos="0"/>
        </w:tabs>
        <w:spacing w:line="360" w:lineRule="auto"/>
        <w:ind w:firstLine="420" w:firstLineChars="200"/>
        <w:rPr>
          <w:rFonts w:ascii="宋体" w:hAnsi="宋体"/>
          <w:szCs w:val="21"/>
        </w:rPr>
      </w:pPr>
      <w:r>
        <w:rPr>
          <w:rFonts w:hint="eastAsia"/>
          <w:szCs w:val="21"/>
        </w:rPr>
        <w:t>2.3.2 投标人应仔细阅读和检查招标文件的全部内容。如发现缺页或附件不全，应及时向招标人提出，以便补齐。如有疑问，应在投标须知前附表规定的时间前</w:t>
      </w:r>
      <w:r>
        <w:rPr>
          <w:rFonts w:hint="eastAsia" w:ascii="宋体" w:hAnsi="宋体"/>
          <w:szCs w:val="21"/>
        </w:rPr>
        <w:t>以</w:t>
      </w:r>
      <w:r>
        <w:rPr>
          <w:rFonts w:hint="eastAsia"/>
          <w:szCs w:val="21"/>
        </w:rPr>
        <w:t>书面形式</w:t>
      </w:r>
      <w:r>
        <w:rPr>
          <w:rFonts w:hint="eastAsia" w:ascii="宋体" w:hAnsi="宋体"/>
          <w:szCs w:val="21"/>
        </w:rPr>
        <w:t>向招标人提出，招标人将以</w:t>
      </w:r>
      <w:r>
        <w:rPr>
          <w:rFonts w:hint="eastAsia"/>
          <w:szCs w:val="21"/>
        </w:rPr>
        <w:t>书面形式</w:t>
      </w:r>
      <w:r>
        <w:rPr>
          <w:rFonts w:hint="eastAsia" w:ascii="宋体" w:hAnsi="宋体"/>
          <w:szCs w:val="21"/>
        </w:rPr>
        <w:t>予以解答。澄清内容作为招标文件的组成部分，具有约束作用。逾期的疑问招标人有权拒绝解答，由此造成的损失投标人自负。</w:t>
      </w:r>
    </w:p>
    <w:p w14:paraId="1C45D45C">
      <w:pPr>
        <w:pStyle w:val="112"/>
        <w:rPr>
          <w:color w:val="auto"/>
        </w:rPr>
      </w:pPr>
      <w:bookmarkStart w:id="171" w:name="_Toc387526195"/>
      <w:bookmarkStart w:id="172" w:name="_Toc387526299"/>
      <w:bookmarkStart w:id="173" w:name="_Toc387526391"/>
      <w:bookmarkStart w:id="174" w:name="_Toc367894800"/>
      <w:bookmarkStart w:id="175" w:name="_Toc19481"/>
      <w:bookmarkStart w:id="176" w:name="_Toc363329372"/>
      <w:bookmarkStart w:id="177" w:name="_Toc368759377"/>
      <w:bookmarkStart w:id="178" w:name="_Toc369077563"/>
      <w:bookmarkStart w:id="179" w:name="_Toc368760429"/>
      <w:bookmarkStart w:id="180" w:name="_Toc57041907"/>
      <w:bookmarkStart w:id="181" w:name="_Toc119718089"/>
      <w:r>
        <w:rPr>
          <w:color w:val="auto"/>
        </w:rPr>
        <w:t>3.</w:t>
      </w:r>
      <w:bookmarkEnd w:id="171"/>
      <w:bookmarkEnd w:id="172"/>
      <w:bookmarkEnd w:id="173"/>
      <w:bookmarkEnd w:id="174"/>
      <w:bookmarkEnd w:id="175"/>
      <w:bookmarkEnd w:id="176"/>
      <w:bookmarkEnd w:id="177"/>
      <w:bookmarkEnd w:id="178"/>
      <w:bookmarkEnd w:id="179"/>
      <w:r>
        <w:rPr>
          <w:rFonts w:hint="eastAsia"/>
          <w:color w:val="auto"/>
        </w:rPr>
        <w:t>投标文件</w:t>
      </w:r>
      <w:bookmarkEnd w:id="180"/>
    </w:p>
    <w:p w14:paraId="3DF09128">
      <w:pPr>
        <w:pStyle w:val="5"/>
        <w:spacing w:before="60" w:after="60" w:line="360" w:lineRule="auto"/>
        <w:ind w:firstLine="118"/>
        <w:rPr>
          <w:szCs w:val="24"/>
        </w:rPr>
      </w:pPr>
      <w:bookmarkStart w:id="182" w:name="_Toc57041908"/>
      <w:bookmarkStart w:id="183" w:name="_Toc5625"/>
      <w:bookmarkStart w:id="184" w:name="_Toc387526196"/>
      <w:bookmarkStart w:id="185" w:name="_Toc387526300"/>
      <w:bookmarkStart w:id="186" w:name="_Toc387526392"/>
      <w:r>
        <w:rPr>
          <w:szCs w:val="24"/>
        </w:rPr>
        <w:t xml:space="preserve">3.1 </w:t>
      </w:r>
      <w:bookmarkEnd w:id="181"/>
      <w:r>
        <w:rPr>
          <w:rFonts w:hint="eastAsia"/>
          <w:szCs w:val="24"/>
        </w:rPr>
        <w:t>投标文件的</w:t>
      </w:r>
      <w:r>
        <w:rPr>
          <w:szCs w:val="24"/>
        </w:rPr>
        <w:t>组成</w:t>
      </w:r>
      <w:bookmarkEnd w:id="182"/>
      <w:bookmarkEnd w:id="183"/>
      <w:bookmarkEnd w:id="184"/>
      <w:bookmarkEnd w:id="185"/>
      <w:bookmarkEnd w:id="186"/>
    </w:p>
    <w:p w14:paraId="50FD8D29">
      <w:pPr>
        <w:spacing w:line="360" w:lineRule="auto"/>
        <w:ind w:firstLine="420" w:firstLineChars="200"/>
        <w:rPr>
          <w:szCs w:val="21"/>
        </w:rPr>
      </w:pPr>
      <w:r>
        <w:rPr>
          <w:rFonts w:hint="eastAsia"/>
          <w:szCs w:val="21"/>
        </w:rPr>
        <w:t>3.1.1 投标文件的组成见投标人须知前附表。</w:t>
      </w:r>
    </w:p>
    <w:p w14:paraId="2A1D51BC">
      <w:pPr>
        <w:spacing w:line="360" w:lineRule="auto"/>
        <w:ind w:firstLine="420" w:firstLineChars="200"/>
        <w:rPr>
          <w:szCs w:val="21"/>
        </w:rPr>
      </w:pPr>
      <w:r>
        <w:rPr>
          <w:rFonts w:hint="eastAsia"/>
          <w:szCs w:val="21"/>
        </w:rPr>
        <w:t>3.1.2 第六章“投标文件格式”要求提供相关证明材料作为附件的，投标人应按要求在投标文件中提供相应材料，否则不予认可。</w:t>
      </w:r>
    </w:p>
    <w:p w14:paraId="41D56C18">
      <w:pPr>
        <w:spacing w:line="360" w:lineRule="auto"/>
        <w:ind w:firstLine="420" w:firstLineChars="200"/>
        <w:rPr>
          <w:szCs w:val="21"/>
        </w:rPr>
      </w:pPr>
      <w:r>
        <w:rPr>
          <w:rFonts w:hint="eastAsia"/>
          <w:szCs w:val="21"/>
        </w:rPr>
        <w:t>3.1.3 投标人应按投标人须知前附表的规定提供相关证明材料的资料，用于现场核验，否则不予认可。</w:t>
      </w:r>
    </w:p>
    <w:p w14:paraId="33A0A38B">
      <w:pPr>
        <w:pStyle w:val="5"/>
        <w:spacing w:before="60" w:after="60" w:line="360" w:lineRule="auto"/>
        <w:ind w:firstLine="118"/>
        <w:rPr>
          <w:szCs w:val="24"/>
        </w:rPr>
      </w:pPr>
      <w:bookmarkStart w:id="187" w:name="_Toc387526393"/>
      <w:bookmarkStart w:id="188" w:name="_Toc57041909"/>
      <w:bookmarkStart w:id="189" w:name="_Toc10820"/>
      <w:bookmarkStart w:id="190" w:name="_Toc387526197"/>
      <w:bookmarkStart w:id="191" w:name="_Toc387526301"/>
      <w:r>
        <w:rPr>
          <w:szCs w:val="24"/>
        </w:rPr>
        <w:t>3.2 投标报价</w:t>
      </w:r>
      <w:bookmarkEnd w:id="187"/>
      <w:bookmarkEnd w:id="188"/>
      <w:bookmarkEnd w:id="189"/>
      <w:bookmarkEnd w:id="190"/>
      <w:bookmarkEnd w:id="191"/>
    </w:p>
    <w:p w14:paraId="34AEE8A2">
      <w:pPr>
        <w:spacing w:line="360" w:lineRule="auto"/>
        <w:ind w:firstLine="420" w:firstLineChars="200"/>
        <w:rPr>
          <w:szCs w:val="21"/>
        </w:rPr>
      </w:pPr>
      <w:r>
        <w:rPr>
          <w:szCs w:val="21"/>
        </w:rPr>
        <w:t>3.2.1</w:t>
      </w:r>
      <w:r>
        <w:rPr>
          <w:rFonts w:hint="eastAsia"/>
          <w:szCs w:val="21"/>
        </w:rPr>
        <w:t>投标报价应包含本招标文件中的全部内容所需的所有费用。</w:t>
      </w:r>
    </w:p>
    <w:p w14:paraId="351F603A">
      <w:pPr>
        <w:spacing w:line="360" w:lineRule="auto"/>
        <w:ind w:firstLine="420" w:firstLineChars="200"/>
        <w:rPr>
          <w:szCs w:val="21"/>
        </w:rPr>
      </w:pPr>
      <w:r>
        <w:rPr>
          <w:szCs w:val="21"/>
        </w:rPr>
        <w:t>3.2.2</w:t>
      </w:r>
      <w:r>
        <w:rPr>
          <w:rFonts w:hint="eastAsia"/>
          <w:szCs w:val="21"/>
        </w:rPr>
        <w:t>投标人按投标人须知前附表的具体规定进行报价。</w:t>
      </w:r>
    </w:p>
    <w:p w14:paraId="0FBB4E97">
      <w:pPr>
        <w:spacing w:line="360" w:lineRule="auto"/>
        <w:ind w:firstLine="420" w:firstLineChars="200"/>
        <w:rPr>
          <w:szCs w:val="21"/>
        </w:rPr>
      </w:pPr>
      <w:r>
        <w:rPr>
          <w:rFonts w:hint="eastAsia"/>
          <w:szCs w:val="21"/>
        </w:rPr>
        <w:t>3.2.3招标人</w:t>
      </w:r>
      <w:r>
        <w:rPr>
          <w:szCs w:val="21"/>
        </w:rPr>
        <w:t>设有最高投标限价的，</w:t>
      </w:r>
      <w:r>
        <w:rPr>
          <w:rFonts w:hint="eastAsia"/>
          <w:szCs w:val="21"/>
        </w:rPr>
        <w:t>投标人</w:t>
      </w:r>
      <w:r>
        <w:rPr>
          <w:szCs w:val="21"/>
        </w:rPr>
        <w:t>的投标报价不得超过最高投标限价，最高投标限价见</w:t>
      </w:r>
      <w:r>
        <w:rPr>
          <w:rFonts w:hint="eastAsia"/>
          <w:szCs w:val="21"/>
        </w:rPr>
        <w:t>投标人</w:t>
      </w:r>
      <w:r>
        <w:rPr>
          <w:szCs w:val="21"/>
        </w:rPr>
        <w:t>须知前附表。</w:t>
      </w:r>
    </w:p>
    <w:p w14:paraId="1FC2AF34">
      <w:pPr>
        <w:spacing w:line="360" w:lineRule="auto"/>
        <w:ind w:firstLine="420" w:firstLineChars="200"/>
        <w:rPr>
          <w:szCs w:val="21"/>
        </w:rPr>
      </w:pPr>
      <w:bookmarkStart w:id="192" w:name="_Toc416365290"/>
      <w:r>
        <w:rPr>
          <w:rFonts w:hint="eastAsia"/>
          <w:szCs w:val="21"/>
        </w:rPr>
        <w:t>3.2.4 投标人在编制投标报价时，应考虑以下因素：</w:t>
      </w:r>
    </w:p>
    <w:p w14:paraId="0AC82826">
      <w:pPr>
        <w:spacing w:line="360" w:lineRule="auto"/>
        <w:ind w:firstLine="420" w:firstLineChars="200"/>
        <w:rPr>
          <w:szCs w:val="21"/>
        </w:rPr>
      </w:pPr>
      <w:r>
        <w:rPr>
          <w:rFonts w:hint="eastAsia"/>
          <w:szCs w:val="21"/>
        </w:rPr>
        <w:t>(1)在合同执行期间，除合同条款中载明的招标人提供的便利条件外，本项目发包人不提供其他任何设施与物品，中标人的生活设施以及建设工具通讯等问题由中标人自行考虑并承担相应费用；</w:t>
      </w:r>
    </w:p>
    <w:p w14:paraId="3BB8ED81">
      <w:pPr>
        <w:spacing w:line="360" w:lineRule="auto"/>
        <w:ind w:firstLine="420" w:firstLineChars="200"/>
        <w:rPr>
          <w:szCs w:val="21"/>
        </w:rPr>
      </w:pPr>
      <w:r>
        <w:rPr>
          <w:rFonts w:hint="eastAsia"/>
          <w:szCs w:val="21"/>
        </w:rPr>
        <w:t>(2)中标人应为投入的审计人员进行必要的安全教育，配备必要的安全装备，并为相关现场审计人员投保。本项目的审计单位投入设备险和职工的(人身)事故险均由中标人投保，保险费由中标人承担并支付。</w:t>
      </w:r>
    </w:p>
    <w:bookmarkEnd w:id="192"/>
    <w:p w14:paraId="407C5471">
      <w:pPr>
        <w:spacing w:line="360" w:lineRule="auto"/>
        <w:ind w:firstLine="420" w:firstLineChars="200"/>
        <w:rPr>
          <w:szCs w:val="21"/>
        </w:rPr>
      </w:pPr>
      <w:bookmarkStart w:id="193" w:name="_Toc416365302"/>
      <w:r>
        <w:rPr>
          <w:rFonts w:hint="eastAsia"/>
          <w:szCs w:val="21"/>
        </w:rPr>
        <w:t>3.2.5 投标人投标文件中只允许一个报价，招标人不接受选择性报价。若投标文件中出现两个或两个以上的报价且未声明以哪一个为准，其投标文件将被否决。</w:t>
      </w:r>
    </w:p>
    <w:bookmarkEnd w:id="193"/>
    <w:p w14:paraId="7CC04013">
      <w:pPr>
        <w:spacing w:line="360" w:lineRule="auto"/>
        <w:ind w:firstLine="420" w:firstLineChars="200"/>
        <w:rPr>
          <w:szCs w:val="21"/>
        </w:rPr>
      </w:pPr>
      <w:r>
        <w:rPr>
          <w:rFonts w:hint="eastAsia"/>
          <w:szCs w:val="21"/>
        </w:rPr>
        <w:t>3.2.6 投标人应承担其投标文件编制与递交所涉及的一切费用，不管结果如何，招标人对上述费用不负任何责任。</w:t>
      </w:r>
    </w:p>
    <w:p w14:paraId="76670E9D">
      <w:pPr>
        <w:pStyle w:val="5"/>
        <w:spacing w:before="60" w:after="60" w:line="360" w:lineRule="auto"/>
        <w:ind w:firstLine="118"/>
        <w:rPr>
          <w:szCs w:val="24"/>
        </w:rPr>
      </w:pPr>
      <w:bookmarkStart w:id="194" w:name="_Toc387526302"/>
      <w:bookmarkStart w:id="195" w:name="_Toc21008"/>
      <w:bookmarkStart w:id="196" w:name="_Toc387526198"/>
      <w:bookmarkStart w:id="197" w:name="_Toc387526394"/>
      <w:bookmarkStart w:id="198" w:name="_Toc57041910"/>
      <w:r>
        <w:rPr>
          <w:szCs w:val="24"/>
        </w:rPr>
        <w:t>3.3 投标有效期</w:t>
      </w:r>
      <w:bookmarkEnd w:id="194"/>
      <w:bookmarkEnd w:id="195"/>
      <w:bookmarkEnd w:id="196"/>
      <w:bookmarkEnd w:id="197"/>
      <w:bookmarkEnd w:id="198"/>
    </w:p>
    <w:p w14:paraId="6AA884A9">
      <w:pPr>
        <w:spacing w:line="360" w:lineRule="auto"/>
        <w:ind w:firstLine="420" w:firstLineChars="200"/>
        <w:rPr>
          <w:szCs w:val="21"/>
        </w:rPr>
      </w:pPr>
      <w:r>
        <w:rPr>
          <w:szCs w:val="21"/>
        </w:rPr>
        <w:t>3.3.1 在</w:t>
      </w:r>
      <w:r>
        <w:rPr>
          <w:rFonts w:hint="eastAsia"/>
          <w:szCs w:val="21"/>
        </w:rPr>
        <w:t>投标人</w:t>
      </w:r>
      <w:r>
        <w:rPr>
          <w:szCs w:val="21"/>
        </w:rPr>
        <w:t>须知前附表第3.3.1条规定的投标有效期内，</w:t>
      </w:r>
      <w:r>
        <w:rPr>
          <w:rFonts w:hint="eastAsia"/>
          <w:szCs w:val="21"/>
        </w:rPr>
        <w:t>投标人</w:t>
      </w:r>
      <w:r>
        <w:rPr>
          <w:szCs w:val="21"/>
        </w:rPr>
        <w:t>不得要求撤销或修改其</w:t>
      </w:r>
      <w:r>
        <w:rPr>
          <w:rFonts w:hint="eastAsia"/>
          <w:szCs w:val="21"/>
        </w:rPr>
        <w:t>投标文件</w:t>
      </w:r>
      <w:r>
        <w:rPr>
          <w:szCs w:val="21"/>
        </w:rPr>
        <w:t>。</w:t>
      </w:r>
    </w:p>
    <w:p w14:paraId="5DF62953">
      <w:pPr>
        <w:spacing w:line="360" w:lineRule="auto"/>
        <w:ind w:firstLine="420" w:firstLineChars="200"/>
        <w:rPr>
          <w:rFonts w:ascii="宋体" w:hAnsi="宋体"/>
          <w:szCs w:val="21"/>
        </w:rPr>
      </w:pPr>
      <w:r>
        <w:rPr>
          <w:szCs w:val="21"/>
        </w:rPr>
        <w:t>3.3.2出现特殊情况需要延长投标有效期的，</w:t>
      </w:r>
      <w:r>
        <w:rPr>
          <w:rFonts w:hint="eastAsia"/>
          <w:szCs w:val="21"/>
        </w:rPr>
        <w:t>招标人</w:t>
      </w:r>
      <w:r>
        <w:rPr>
          <w:szCs w:val="21"/>
        </w:rPr>
        <w:t>应通知所有</w:t>
      </w:r>
      <w:r>
        <w:rPr>
          <w:rFonts w:hint="eastAsia"/>
          <w:szCs w:val="21"/>
        </w:rPr>
        <w:t>投标人</w:t>
      </w:r>
      <w:r>
        <w:rPr>
          <w:szCs w:val="21"/>
        </w:rPr>
        <w:t>延长投标有效期</w:t>
      </w:r>
      <w:r>
        <w:rPr>
          <w:rFonts w:hint="eastAsia"/>
          <w:szCs w:val="21"/>
        </w:rPr>
        <w:t>，</w:t>
      </w:r>
      <w:r>
        <w:rPr>
          <w:rFonts w:hint="eastAsia" w:ascii="宋体" w:hAnsi="宋体"/>
          <w:szCs w:val="21"/>
        </w:rPr>
        <w:t>但延期最长不超过30天。投标人应于24小时内以书面形式答复招标人的上述要求。若投标人拒绝招标人要求，表明投标人已放弃投标，可在原定的有效期期满后收回投标保证金；若投标人接受延期要求，则投标文件继续有效，但不允许修改，且需相应延长投标保证金的有效期。</w:t>
      </w:r>
    </w:p>
    <w:p w14:paraId="479C3E80">
      <w:pPr>
        <w:pStyle w:val="5"/>
        <w:spacing w:before="60" w:after="60" w:line="360" w:lineRule="auto"/>
        <w:ind w:firstLine="118"/>
        <w:rPr>
          <w:szCs w:val="24"/>
        </w:rPr>
      </w:pPr>
      <w:bookmarkStart w:id="199" w:name="_Toc387526303"/>
      <w:bookmarkStart w:id="200" w:name="_Toc15701"/>
      <w:bookmarkStart w:id="201" w:name="_Toc57041911"/>
      <w:bookmarkStart w:id="202" w:name="_Toc387526395"/>
      <w:bookmarkStart w:id="203" w:name="_Toc387526199"/>
      <w:r>
        <w:rPr>
          <w:szCs w:val="24"/>
        </w:rPr>
        <w:t>3.4 投标保证金</w:t>
      </w:r>
      <w:bookmarkEnd w:id="199"/>
      <w:bookmarkEnd w:id="200"/>
      <w:bookmarkEnd w:id="201"/>
      <w:bookmarkEnd w:id="202"/>
      <w:bookmarkEnd w:id="203"/>
    </w:p>
    <w:p w14:paraId="50169D2D">
      <w:pPr>
        <w:spacing w:line="360" w:lineRule="auto"/>
        <w:ind w:firstLine="420" w:firstLineChars="200"/>
        <w:rPr>
          <w:szCs w:val="21"/>
        </w:rPr>
      </w:pPr>
      <w:bookmarkStart w:id="204" w:name="_Toc339359765"/>
      <w:bookmarkStart w:id="205" w:name="_Toc324255909"/>
      <w:bookmarkStart w:id="206" w:name="_Toc269310939"/>
      <w:r>
        <w:rPr>
          <w:szCs w:val="21"/>
        </w:rPr>
        <w:t xml:space="preserve">3.4.1 </w:t>
      </w:r>
      <w:r>
        <w:rPr>
          <w:rFonts w:hint="eastAsia"/>
          <w:szCs w:val="21"/>
        </w:rPr>
        <w:t>投标人应按投标人须知前附表规定的金额和形式从投标企业的法人基本存款账户缴纳投标保证金。投标保证金应当在投标文件递交截止时间前进入投标人须知前附表规定的缴纳账户。投标保证金的核查方式见投标人须知前附表。</w:t>
      </w:r>
    </w:p>
    <w:p w14:paraId="0E9897AD">
      <w:pPr>
        <w:spacing w:line="360" w:lineRule="auto"/>
        <w:ind w:firstLine="420" w:firstLineChars="200"/>
        <w:rPr>
          <w:szCs w:val="21"/>
        </w:rPr>
      </w:pPr>
      <w:r>
        <w:rPr>
          <w:szCs w:val="21"/>
        </w:rPr>
        <w:t xml:space="preserve">3.4.2 </w:t>
      </w:r>
      <w:r>
        <w:rPr>
          <w:rFonts w:hint="eastAsia"/>
          <w:szCs w:val="21"/>
        </w:rPr>
        <w:t>投标人</w:t>
      </w:r>
      <w:r>
        <w:rPr>
          <w:szCs w:val="21"/>
        </w:rPr>
        <w:t>不按本章第3.4.1项要求提交投标保证金的，</w:t>
      </w:r>
      <w:r>
        <w:rPr>
          <w:rFonts w:hint="eastAsia"/>
          <w:szCs w:val="21"/>
        </w:rPr>
        <w:t>评审</w:t>
      </w:r>
      <w:r>
        <w:rPr>
          <w:szCs w:val="21"/>
        </w:rPr>
        <w:t>委员会将否决其投标。</w:t>
      </w:r>
    </w:p>
    <w:p w14:paraId="0EFF7089">
      <w:pPr>
        <w:spacing w:line="360" w:lineRule="auto"/>
        <w:ind w:firstLine="420" w:firstLineChars="200"/>
        <w:rPr>
          <w:szCs w:val="21"/>
        </w:rPr>
      </w:pPr>
      <w:r>
        <w:rPr>
          <w:szCs w:val="21"/>
        </w:rPr>
        <w:t>3.4.3</w:t>
      </w:r>
      <w:r>
        <w:rPr>
          <w:rFonts w:hint="eastAsia"/>
        </w:rPr>
        <w:t>投标保证金</w:t>
      </w:r>
      <w:r>
        <w:rPr>
          <w:rFonts w:hint="eastAsia" w:ascii="宋体" w:hAnsi="宋体" w:cs="宋体"/>
          <w:szCs w:val="21"/>
        </w:rPr>
        <w:t>退还方式见投标人须知前附表。</w:t>
      </w:r>
    </w:p>
    <w:p w14:paraId="788D0372">
      <w:pPr>
        <w:spacing w:line="360" w:lineRule="auto"/>
        <w:ind w:firstLine="420" w:firstLineChars="200"/>
        <w:rPr>
          <w:szCs w:val="21"/>
        </w:rPr>
      </w:pPr>
      <w:r>
        <w:rPr>
          <w:szCs w:val="21"/>
        </w:rPr>
        <w:t>3.4.4 有下列情形之一的，投标保证金将不予退还：</w:t>
      </w:r>
    </w:p>
    <w:p w14:paraId="54CA17C9">
      <w:pPr>
        <w:spacing w:line="360" w:lineRule="auto"/>
        <w:ind w:firstLine="420" w:firstLineChars="200"/>
        <w:rPr>
          <w:rFonts w:ascii="宋体" w:hAnsi="宋体" w:cs="宋体"/>
          <w:szCs w:val="21"/>
        </w:rPr>
      </w:pPr>
      <w:bookmarkStart w:id="207" w:name="_Toc24952"/>
      <w:r>
        <w:rPr>
          <w:rFonts w:hint="eastAsia" w:ascii="宋体" w:hAnsi="宋体" w:cs="宋体"/>
          <w:szCs w:val="21"/>
        </w:rPr>
        <w:t>①投标人在投标有效期内撤销或修改其投标文件；</w:t>
      </w:r>
    </w:p>
    <w:p w14:paraId="67FF5F18">
      <w:pPr>
        <w:spacing w:line="360" w:lineRule="auto"/>
        <w:ind w:firstLine="420" w:firstLineChars="200"/>
        <w:rPr>
          <w:rFonts w:ascii="宋体" w:hAnsi="宋体" w:cs="宋体"/>
          <w:szCs w:val="21"/>
        </w:rPr>
      </w:pPr>
      <w:r>
        <w:rPr>
          <w:rFonts w:hint="eastAsia" w:ascii="宋体" w:hAnsi="宋体" w:cs="宋体"/>
          <w:szCs w:val="21"/>
        </w:rPr>
        <w:t>②中标人无正当理由不与招标人订立合同；</w:t>
      </w:r>
    </w:p>
    <w:p w14:paraId="4AF01D32">
      <w:pPr>
        <w:spacing w:line="360" w:lineRule="auto"/>
        <w:ind w:firstLine="420" w:firstLineChars="200"/>
        <w:rPr>
          <w:rFonts w:ascii="宋体" w:hAnsi="宋体" w:cs="宋体"/>
          <w:szCs w:val="21"/>
        </w:rPr>
      </w:pPr>
      <w:r>
        <w:rPr>
          <w:rFonts w:hint="eastAsia" w:ascii="宋体" w:hAnsi="宋体" w:cs="宋体"/>
          <w:szCs w:val="21"/>
        </w:rPr>
        <w:t>③中标人在签订合同时向招标人提出附加条件；</w:t>
      </w:r>
    </w:p>
    <w:p w14:paraId="789CDC34">
      <w:pPr>
        <w:spacing w:line="360" w:lineRule="auto"/>
        <w:ind w:firstLine="420" w:firstLineChars="200"/>
        <w:rPr>
          <w:rFonts w:ascii="宋体" w:hAnsi="宋体" w:cs="宋体"/>
          <w:szCs w:val="21"/>
        </w:rPr>
      </w:pPr>
      <w:r>
        <w:rPr>
          <w:rFonts w:hint="eastAsia" w:ascii="宋体" w:hAnsi="宋体" w:cs="宋体"/>
          <w:szCs w:val="21"/>
        </w:rPr>
        <w:t>④中标人不按照招标文件要求提交履约保证金的。</w:t>
      </w:r>
    </w:p>
    <w:p w14:paraId="34B8BD50">
      <w:pPr>
        <w:spacing w:line="360" w:lineRule="auto"/>
        <w:ind w:firstLine="422" w:firstLineChars="200"/>
        <w:rPr>
          <w:rFonts w:ascii="宋体" w:hAnsi="宋体" w:cs="宋体"/>
          <w:b/>
          <w:szCs w:val="21"/>
        </w:rPr>
      </w:pPr>
      <w:r>
        <w:rPr>
          <w:rFonts w:hint="eastAsia" w:ascii="宋体" w:hAnsi="宋体" w:cs="宋体"/>
          <w:b/>
          <w:szCs w:val="21"/>
        </w:rPr>
        <w:t>⑤标中、标后被发现存在出借（挂靠）资质、提供虚假承诺等违法违规行为。</w:t>
      </w:r>
    </w:p>
    <w:p w14:paraId="2E437ACF">
      <w:pPr>
        <w:pStyle w:val="5"/>
        <w:ind w:firstLine="118"/>
        <w:rPr>
          <w:bCs/>
        </w:rPr>
      </w:pPr>
      <w:bookmarkStart w:id="208" w:name="_Toc57041912"/>
      <w:r>
        <w:rPr>
          <w:rFonts w:hint="eastAsia"/>
          <w:bCs/>
        </w:rPr>
        <w:t>3.5 资格审查资料</w:t>
      </w:r>
      <w:bookmarkEnd w:id="207"/>
      <w:bookmarkEnd w:id="208"/>
    </w:p>
    <w:p w14:paraId="6DCB1B62">
      <w:pPr>
        <w:spacing w:line="360" w:lineRule="auto"/>
        <w:ind w:firstLine="420" w:firstLineChars="200"/>
      </w:pPr>
      <w:r>
        <w:rPr>
          <w:rFonts w:hint="eastAsia"/>
        </w:rPr>
        <w:t>投标人在编制投标文件时，应按照本章3.1的要求提供资料。</w:t>
      </w:r>
    </w:p>
    <w:p w14:paraId="23E663AF">
      <w:pPr>
        <w:pStyle w:val="5"/>
        <w:spacing w:before="60" w:after="60" w:line="360" w:lineRule="auto"/>
        <w:ind w:firstLine="118"/>
        <w:rPr>
          <w:szCs w:val="24"/>
        </w:rPr>
      </w:pPr>
      <w:bookmarkStart w:id="209" w:name="_Toc387526200"/>
      <w:bookmarkStart w:id="210" w:name="_Toc387526396"/>
      <w:bookmarkStart w:id="211" w:name="_Toc387526304"/>
      <w:bookmarkStart w:id="212" w:name="_Toc22895"/>
      <w:bookmarkStart w:id="213" w:name="_Toc57041913"/>
      <w:r>
        <w:rPr>
          <w:szCs w:val="24"/>
        </w:rPr>
        <w:t>3.</w:t>
      </w:r>
      <w:r>
        <w:rPr>
          <w:rFonts w:hint="eastAsia"/>
          <w:szCs w:val="24"/>
        </w:rPr>
        <w:t>6</w:t>
      </w:r>
      <w:r>
        <w:rPr>
          <w:szCs w:val="24"/>
        </w:rPr>
        <w:t xml:space="preserve"> 备选投标方案</w:t>
      </w:r>
      <w:bookmarkEnd w:id="204"/>
      <w:bookmarkEnd w:id="205"/>
      <w:bookmarkEnd w:id="206"/>
      <w:bookmarkEnd w:id="209"/>
      <w:bookmarkEnd w:id="210"/>
      <w:bookmarkEnd w:id="211"/>
      <w:bookmarkEnd w:id="212"/>
      <w:bookmarkEnd w:id="213"/>
    </w:p>
    <w:p w14:paraId="588AE566">
      <w:pPr>
        <w:spacing w:line="360" w:lineRule="auto"/>
        <w:ind w:firstLine="420"/>
        <w:rPr>
          <w:szCs w:val="21"/>
        </w:rPr>
      </w:pPr>
      <w:r>
        <w:rPr>
          <w:szCs w:val="21"/>
        </w:rPr>
        <w:t>除</w:t>
      </w:r>
      <w:r>
        <w:rPr>
          <w:rFonts w:hint="eastAsia"/>
          <w:szCs w:val="21"/>
        </w:rPr>
        <w:t>投标人</w:t>
      </w:r>
      <w:r>
        <w:rPr>
          <w:szCs w:val="21"/>
        </w:rPr>
        <w:t>须知前附表另有规定外，</w:t>
      </w:r>
      <w:r>
        <w:rPr>
          <w:rFonts w:hint="eastAsia"/>
          <w:szCs w:val="21"/>
        </w:rPr>
        <w:t>投标人</w:t>
      </w:r>
      <w:r>
        <w:rPr>
          <w:szCs w:val="21"/>
        </w:rPr>
        <w:t>不得提交备选投标方案。允许</w:t>
      </w:r>
      <w:r>
        <w:rPr>
          <w:rFonts w:hint="eastAsia"/>
          <w:szCs w:val="21"/>
        </w:rPr>
        <w:t>投标人</w:t>
      </w:r>
      <w:r>
        <w:rPr>
          <w:szCs w:val="21"/>
        </w:rPr>
        <w:t>提交备选投标方案的，只有中标候选人的</w:t>
      </w:r>
      <w:r>
        <w:rPr>
          <w:rFonts w:hint="eastAsia"/>
          <w:szCs w:val="21"/>
        </w:rPr>
        <w:t>投标人</w:t>
      </w:r>
      <w:r>
        <w:rPr>
          <w:szCs w:val="21"/>
        </w:rPr>
        <w:t>，其所提交的备选投标方案方可予以考虑。</w:t>
      </w:r>
      <w:r>
        <w:rPr>
          <w:rFonts w:hint="eastAsia"/>
          <w:szCs w:val="21"/>
        </w:rPr>
        <w:t>评审</w:t>
      </w:r>
      <w:r>
        <w:rPr>
          <w:szCs w:val="21"/>
        </w:rPr>
        <w:t>委员会认为中标候选人的备选投标方案优于其按照</w:t>
      </w:r>
      <w:r>
        <w:rPr>
          <w:rFonts w:hint="eastAsia"/>
          <w:szCs w:val="21"/>
        </w:rPr>
        <w:t>招标文件</w:t>
      </w:r>
      <w:r>
        <w:rPr>
          <w:szCs w:val="21"/>
        </w:rPr>
        <w:t>要求编制的投标方案的，</w:t>
      </w:r>
      <w:r>
        <w:rPr>
          <w:rFonts w:hint="eastAsia"/>
          <w:szCs w:val="21"/>
        </w:rPr>
        <w:t>招标人</w:t>
      </w:r>
      <w:r>
        <w:rPr>
          <w:szCs w:val="21"/>
        </w:rPr>
        <w:t>可以接受该备选投标方案。</w:t>
      </w:r>
    </w:p>
    <w:p w14:paraId="638F5611">
      <w:pPr>
        <w:pStyle w:val="5"/>
        <w:spacing w:before="60" w:after="60" w:line="360" w:lineRule="auto"/>
        <w:ind w:firstLine="118"/>
        <w:rPr>
          <w:szCs w:val="24"/>
        </w:rPr>
      </w:pPr>
      <w:bookmarkStart w:id="214" w:name="_Toc387526397"/>
      <w:bookmarkStart w:id="215" w:name="_Toc16855"/>
      <w:bookmarkStart w:id="216" w:name="_Toc387526305"/>
      <w:bookmarkStart w:id="217" w:name="_Toc57041914"/>
      <w:bookmarkStart w:id="218" w:name="_Toc387526201"/>
      <w:r>
        <w:rPr>
          <w:szCs w:val="24"/>
        </w:rPr>
        <w:t>3.</w:t>
      </w:r>
      <w:r>
        <w:rPr>
          <w:rFonts w:hint="eastAsia"/>
          <w:szCs w:val="24"/>
        </w:rPr>
        <w:t>7</w:t>
      </w:r>
      <w:r>
        <w:rPr>
          <w:szCs w:val="24"/>
        </w:rPr>
        <w:t xml:space="preserve"> </w:t>
      </w:r>
      <w:r>
        <w:rPr>
          <w:rFonts w:hint="eastAsia"/>
          <w:szCs w:val="24"/>
        </w:rPr>
        <w:t>投标文件</w:t>
      </w:r>
      <w:r>
        <w:rPr>
          <w:szCs w:val="24"/>
        </w:rPr>
        <w:t>的编制</w:t>
      </w:r>
      <w:bookmarkEnd w:id="214"/>
      <w:bookmarkEnd w:id="215"/>
      <w:bookmarkEnd w:id="216"/>
      <w:bookmarkEnd w:id="217"/>
      <w:bookmarkEnd w:id="218"/>
    </w:p>
    <w:p w14:paraId="0CE5A61E">
      <w:pPr>
        <w:spacing w:line="360" w:lineRule="auto"/>
        <w:ind w:firstLine="420"/>
        <w:rPr>
          <w:szCs w:val="21"/>
        </w:rPr>
      </w:pPr>
      <w:r>
        <w:rPr>
          <w:rFonts w:hint="eastAsia"/>
          <w:szCs w:val="21"/>
        </w:rPr>
        <w:t>3.7.1 投标文件应按“投标文件格式”进行编写，如有必要，可以增加附页，作为投标文件的组成部分。</w:t>
      </w:r>
    </w:p>
    <w:p w14:paraId="61227B81">
      <w:pPr>
        <w:spacing w:line="360" w:lineRule="auto"/>
        <w:ind w:firstLine="420"/>
        <w:rPr>
          <w:szCs w:val="21"/>
        </w:rPr>
      </w:pPr>
      <w:r>
        <w:rPr>
          <w:rFonts w:hint="eastAsia"/>
          <w:szCs w:val="21"/>
        </w:rPr>
        <w:t>3.7.2 投标文件应用不褪色的材料书写或打印，并由投标人的法定代表人或其委托代理人签字或盖单位章。委托代理人签字的，投标文件应附法定代表人签署的授权委托书。投标文件应尽量避免涂改、行间插字或删除。如果出现上述情况，改动之处应加盖单位章或由投标人的法定代表人或其授权的代理人签字确认。</w:t>
      </w:r>
    </w:p>
    <w:p w14:paraId="02E8DCF5">
      <w:pPr>
        <w:pStyle w:val="112"/>
        <w:rPr>
          <w:color w:val="auto"/>
        </w:rPr>
      </w:pPr>
      <w:bookmarkStart w:id="219" w:name="_Toc387526202"/>
      <w:bookmarkStart w:id="220" w:name="_Toc369077564"/>
      <w:bookmarkStart w:id="221" w:name="_Toc24421"/>
      <w:bookmarkStart w:id="222" w:name="_Toc387526398"/>
      <w:bookmarkStart w:id="223" w:name="_Toc368759378"/>
      <w:bookmarkStart w:id="224" w:name="_Toc368760430"/>
      <w:bookmarkStart w:id="225" w:name="_Toc184635074"/>
      <w:bookmarkStart w:id="226" w:name="_Toc363329373"/>
      <w:bookmarkStart w:id="227" w:name="_Toc57041915"/>
      <w:bookmarkStart w:id="228" w:name="_Toc387526306"/>
      <w:bookmarkStart w:id="229" w:name="_Toc367894801"/>
      <w:bookmarkStart w:id="230" w:name="_Toc367894802"/>
      <w:bookmarkStart w:id="231" w:name="_Toc184635075"/>
      <w:bookmarkStart w:id="232" w:name="_Toc368759379"/>
      <w:bookmarkStart w:id="233" w:name="_Toc363329374"/>
      <w:r>
        <w:rPr>
          <w:color w:val="auto"/>
        </w:rPr>
        <w:t>4.投标</w:t>
      </w:r>
      <w:bookmarkEnd w:id="219"/>
      <w:bookmarkEnd w:id="220"/>
      <w:bookmarkEnd w:id="221"/>
      <w:bookmarkEnd w:id="222"/>
      <w:bookmarkEnd w:id="223"/>
      <w:bookmarkEnd w:id="224"/>
      <w:bookmarkEnd w:id="225"/>
      <w:bookmarkEnd w:id="226"/>
      <w:bookmarkEnd w:id="227"/>
      <w:bookmarkEnd w:id="228"/>
      <w:bookmarkEnd w:id="229"/>
    </w:p>
    <w:p w14:paraId="3A71555B">
      <w:pPr>
        <w:pStyle w:val="5"/>
        <w:spacing w:line="360" w:lineRule="auto"/>
        <w:ind w:firstLine="118"/>
      </w:pPr>
      <w:bookmarkStart w:id="234" w:name="_Toc398107863"/>
      <w:bookmarkStart w:id="235" w:name="_Toc532996596"/>
      <w:bookmarkStart w:id="236" w:name="_Toc57041916"/>
      <w:bookmarkStart w:id="237" w:name="_Toc387526206"/>
      <w:bookmarkStart w:id="238" w:name="_Toc387526310"/>
      <w:bookmarkStart w:id="239" w:name="_Toc369077565"/>
      <w:bookmarkStart w:id="240" w:name="_Toc368760431"/>
      <w:bookmarkStart w:id="241" w:name="_Toc387526402"/>
      <w:bookmarkStart w:id="242" w:name="_Toc22329"/>
      <w:bookmarkStart w:id="243" w:name="_Toc152042342"/>
      <w:bookmarkStart w:id="244" w:name="_Toc246996953"/>
      <w:bookmarkStart w:id="245" w:name="_Toc144974534"/>
      <w:bookmarkStart w:id="246" w:name="_Toc366679697"/>
      <w:bookmarkStart w:id="247" w:name="_Toc368759381"/>
      <w:bookmarkStart w:id="248" w:name="_Toc179632584"/>
      <w:bookmarkStart w:id="249" w:name="_Toc246996210"/>
      <w:bookmarkStart w:id="250" w:name="_Toc152045566"/>
      <w:bookmarkStart w:id="251" w:name="_Toc247085724"/>
      <w:r>
        <w:rPr>
          <w:rFonts w:hint="eastAsia"/>
        </w:rPr>
        <w:t>4.1 投标文件的密封和标记</w:t>
      </w:r>
      <w:bookmarkEnd w:id="234"/>
      <w:r>
        <w:rPr>
          <w:rFonts w:hint="eastAsia"/>
        </w:rPr>
        <w:t>：</w:t>
      </w:r>
      <w:bookmarkEnd w:id="235"/>
      <w:bookmarkEnd w:id="236"/>
      <w:bookmarkStart w:id="252" w:name="_Toc532996597"/>
      <w:bookmarkStart w:id="253" w:name="_Toc398107864"/>
    </w:p>
    <w:p w14:paraId="28E4604D">
      <w:pPr>
        <w:adjustRightInd w:val="0"/>
        <w:snapToGrid w:val="0"/>
        <w:spacing w:line="480" w:lineRule="exact"/>
        <w:rPr>
          <w:rFonts w:ascii="宋体" w:hAnsi="宋体" w:cs="宋体"/>
          <w:b/>
          <w:bCs/>
          <w:kern w:val="0"/>
          <w:szCs w:val="21"/>
        </w:rPr>
      </w:pPr>
      <w:r>
        <w:rPr>
          <w:rFonts w:hint="eastAsia" w:ascii="宋体" w:hAnsi="宋体" w:cs="宋体"/>
          <w:b/>
          <w:bCs/>
          <w:kern w:val="0"/>
          <w:szCs w:val="21"/>
        </w:rPr>
        <w:t>4.1</w:t>
      </w:r>
      <w:r>
        <w:rPr>
          <w:rFonts w:ascii="宋体" w:hAnsi="宋体" w:cs="宋体"/>
          <w:b/>
          <w:bCs/>
          <w:kern w:val="0"/>
          <w:szCs w:val="21"/>
        </w:rPr>
        <w:t>.1</w:t>
      </w:r>
      <w:r>
        <w:rPr>
          <w:rFonts w:hint="eastAsia" w:ascii="宋体" w:hAnsi="宋体" w:cs="宋体"/>
          <w:b/>
          <w:bCs/>
          <w:kern w:val="0"/>
          <w:szCs w:val="21"/>
        </w:rPr>
        <w:t>、本工程采用远程不见面交易模式，不要求递交投标备份文件。</w:t>
      </w:r>
    </w:p>
    <w:p w14:paraId="7C2354FF">
      <w:pPr>
        <w:pStyle w:val="5"/>
        <w:spacing w:line="360" w:lineRule="auto"/>
        <w:ind w:firstLine="118"/>
      </w:pPr>
      <w:bookmarkStart w:id="254" w:name="_Toc57041917"/>
      <w:r>
        <w:rPr>
          <w:rFonts w:hint="eastAsia"/>
        </w:rPr>
        <w:t>4.2 投标文件的递交</w:t>
      </w:r>
      <w:bookmarkEnd w:id="252"/>
      <w:bookmarkEnd w:id="253"/>
      <w:bookmarkEnd w:id="254"/>
    </w:p>
    <w:p w14:paraId="3FB7D792">
      <w:pPr>
        <w:spacing w:line="360" w:lineRule="auto"/>
        <w:jc w:val="left"/>
        <w:rPr>
          <w:rFonts w:ascii="宋体" w:hAnsi="宋体"/>
          <w:szCs w:val="21"/>
        </w:rPr>
      </w:pPr>
      <w:bookmarkStart w:id="255" w:name="_Toc398107865"/>
      <w:bookmarkStart w:id="256" w:name="_Toc532996598"/>
      <w:r>
        <w:rPr>
          <w:rFonts w:hint="eastAsia" w:ascii="宋体" w:hAnsi="宋体"/>
          <w:szCs w:val="21"/>
        </w:rPr>
        <w:t>4.2.1投标人应在投标人须知前附表规定的投标截止时间前，向“电子招标投标交易平台”递交加密后的电子投标文件，并同时递交密封后的投标备份文件。投标备份文件是否提交由投标人自主决定。</w:t>
      </w:r>
    </w:p>
    <w:p w14:paraId="0AD5BF41">
      <w:pPr>
        <w:spacing w:line="360" w:lineRule="auto"/>
        <w:jc w:val="left"/>
        <w:rPr>
          <w:rFonts w:ascii="宋体" w:hAnsi="宋体"/>
          <w:szCs w:val="21"/>
        </w:rPr>
      </w:pPr>
      <w:r>
        <w:rPr>
          <w:rFonts w:hint="eastAsia" w:ascii="宋体" w:hAnsi="宋体"/>
          <w:szCs w:val="21"/>
        </w:rPr>
        <w:t>4.2.2因“电子招标投标交易平台”故障导致开标活动无法正常进行时，招标人将可根据实际情况调整开标时间。</w:t>
      </w:r>
    </w:p>
    <w:p w14:paraId="4516D177">
      <w:pPr>
        <w:spacing w:line="360" w:lineRule="auto"/>
        <w:jc w:val="left"/>
        <w:rPr>
          <w:rFonts w:ascii="宋体" w:hAnsi="宋体"/>
          <w:szCs w:val="21"/>
        </w:rPr>
      </w:pPr>
      <w:r>
        <w:rPr>
          <w:rFonts w:hint="eastAsia" w:ascii="宋体" w:hAnsi="宋体"/>
          <w:szCs w:val="21"/>
        </w:rPr>
        <w:t>4.2.3 投标人递交投标文件的地点：见投标人须知前附表。</w:t>
      </w:r>
    </w:p>
    <w:p w14:paraId="176EAC8E">
      <w:pPr>
        <w:spacing w:line="360" w:lineRule="auto"/>
        <w:jc w:val="left"/>
        <w:rPr>
          <w:rFonts w:ascii="宋体" w:hAnsi="宋体"/>
          <w:szCs w:val="21"/>
        </w:rPr>
      </w:pPr>
      <w:r>
        <w:rPr>
          <w:rFonts w:hint="eastAsia" w:ascii="宋体" w:hAnsi="宋体"/>
          <w:szCs w:val="21"/>
        </w:rPr>
        <w:t>4.2.4逾期上传投标文件的，招标人不予受理。</w:t>
      </w:r>
    </w:p>
    <w:p w14:paraId="1EF03168">
      <w:pPr>
        <w:spacing w:line="360" w:lineRule="auto"/>
        <w:jc w:val="left"/>
        <w:rPr>
          <w:rFonts w:ascii="宋体" w:hAnsi="宋体"/>
          <w:szCs w:val="21"/>
        </w:rPr>
      </w:pPr>
      <w:r>
        <w:rPr>
          <w:rFonts w:hint="eastAsia" w:ascii="宋体" w:hAnsi="宋体"/>
          <w:szCs w:val="21"/>
        </w:rPr>
        <w:t>4.2.5通过“电子招标投标交易平台”中上传的电子投标文件应使用数字证书认证并加密，未按要求加密和数字证书认证的投标文件，招标人不予受理。</w:t>
      </w:r>
    </w:p>
    <w:bookmarkEnd w:id="255"/>
    <w:bookmarkEnd w:id="256"/>
    <w:p w14:paraId="7FA42D8E">
      <w:pPr>
        <w:pStyle w:val="5"/>
        <w:spacing w:line="360" w:lineRule="auto"/>
        <w:ind w:firstLine="118"/>
      </w:pPr>
      <w:bookmarkStart w:id="257" w:name="_Toc57041919"/>
      <w:bookmarkStart w:id="258" w:name="_Toc398107866"/>
      <w:bookmarkStart w:id="259" w:name="_Toc532996599"/>
      <w:r>
        <w:rPr>
          <w:rFonts w:hint="eastAsia"/>
        </w:rPr>
        <w:t>4.3投标文件的补充、修改与撤回</w:t>
      </w:r>
      <w:bookmarkEnd w:id="257"/>
    </w:p>
    <w:p w14:paraId="77E389D1">
      <w:pPr>
        <w:adjustRightInd w:val="0"/>
        <w:snapToGrid w:val="0"/>
        <w:spacing w:line="480" w:lineRule="exact"/>
        <w:rPr>
          <w:rFonts w:ascii="宋体" w:hAnsi="宋体" w:cs="宋体"/>
          <w:kern w:val="0"/>
          <w:szCs w:val="21"/>
        </w:rPr>
      </w:pPr>
      <w:r>
        <w:rPr>
          <w:rFonts w:hint="eastAsia" w:ascii="宋体" w:hAnsi="宋体" w:cs="宋体"/>
          <w:kern w:val="0"/>
          <w:szCs w:val="21"/>
        </w:rPr>
        <w:t>4.3.1、在本章第4.2.1项规定的投标截止时间前，投标人可以修改或撤回已递交的投标文件</w:t>
      </w:r>
      <w:r>
        <w:rPr>
          <w:rFonts w:ascii="宋体" w:hAnsi="宋体" w:cs="宋体"/>
          <w:kern w:val="0"/>
          <w:szCs w:val="21"/>
        </w:rPr>
        <w:t>。</w:t>
      </w:r>
    </w:p>
    <w:bookmarkEnd w:id="258"/>
    <w:bookmarkEnd w:id="259"/>
    <w:p w14:paraId="2A11FC0B">
      <w:pPr>
        <w:pStyle w:val="112"/>
        <w:spacing w:line="240" w:lineRule="auto"/>
        <w:rPr>
          <w:color w:val="auto"/>
        </w:rPr>
      </w:pPr>
      <w:bookmarkStart w:id="260" w:name="_Toc57041921"/>
      <w:r>
        <w:rPr>
          <w:color w:val="auto"/>
        </w:rPr>
        <w:t>5.开标</w:t>
      </w:r>
      <w:bookmarkEnd w:id="237"/>
      <w:bookmarkEnd w:id="238"/>
      <w:bookmarkEnd w:id="239"/>
      <w:bookmarkEnd w:id="240"/>
      <w:bookmarkEnd w:id="241"/>
      <w:bookmarkEnd w:id="242"/>
      <w:bookmarkEnd w:id="260"/>
    </w:p>
    <w:p w14:paraId="0EFEFE93">
      <w:pPr>
        <w:pStyle w:val="5"/>
        <w:spacing w:before="60" w:after="60" w:line="240" w:lineRule="auto"/>
        <w:ind w:firstLine="118"/>
        <w:rPr>
          <w:szCs w:val="24"/>
        </w:rPr>
      </w:pPr>
      <w:bookmarkStart w:id="261" w:name="_Toc389065174"/>
      <w:bookmarkStart w:id="262" w:name="_Toc513149057"/>
      <w:bookmarkStart w:id="263" w:name="_Toc57041922"/>
      <w:bookmarkStart w:id="264" w:name="_Toc22695"/>
      <w:r>
        <w:rPr>
          <w:rFonts w:hint="eastAsia"/>
          <w:szCs w:val="24"/>
        </w:rPr>
        <w:t>5.1 开标时间、地点</w:t>
      </w:r>
      <w:bookmarkEnd w:id="261"/>
      <w:r>
        <w:rPr>
          <w:rFonts w:hint="eastAsia"/>
          <w:szCs w:val="24"/>
        </w:rPr>
        <w:t>和投标人参会代表</w:t>
      </w:r>
      <w:bookmarkEnd w:id="262"/>
      <w:bookmarkEnd w:id="263"/>
      <w:bookmarkEnd w:id="264"/>
    </w:p>
    <w:p w14:paraId="6779194D">
      <w:pPr>
        <w:spacing w:line="360" w:lineRule="auto"/>
        <w:ind w:firstLine="420" w:firstLineChars="200"/>
        <w:rPr>
          <w:rFonts w:ascii="宋体" w:hAnsi="宋体" w:cs="宋体"/>
          <w:szCs w:val="21"/>
        </w:rPr>
      </w:pPr>
      <w:bookmarkStart w:id="265" w:name="_Toc22517"/>
      <w:bookmarkStart w:id="266" w:name="_Toc367894803"/>
      <w:bookmarkStart w:id="267" w:name="_Toc369077566"/>
      <w:bookmarkStart w:id="268" w:name="_Toc387526405"/>
      <w:bookmarkStart w:id="269" w:name="_Toc368759380"/>
      <w:bookmarkStart w:id="270" w:name="_Toc387526313"/>
      <w:bookmarkStart w:id="271" w:name="_Toc184635076"/>
      <w:bookmarkStart w:id="272" w:name="_Toc363329375"/>
      <w:bookmarkStart w:id="273" w:name="_Toc387526209"/>
      <w:bookmarkStart w:id="274" w:name="_Toc368760432"/>
      <w:r>
        <w:rPr>
          <w:rFonts w:hint="eastAsia" w:ascii="宋体" w:hAnsi="宋体" w:cs="宋体"/>
          <w:szCs w:val="21"/>
        </w:rPr>
        <w:t>5.1.1招标人在投标人须知前附表规定的时间和地点公开开标，开标程序见投标人须知前附表；</w:t>
      </w:r>
    </w:p>
    <w:p w14:paraId="2BCC9F40">
      <w:pPr>
        <w:spacing w:line="360" w:lineRule="auto"/>
        <w:ind w:firstLine="422" w:firstLineChars="200"/>
        <w:rPr>
          <w:rFonts w:ascii="宋体" w:hAnsi="宋体" w:cs="宋体"/>
          <w:b/>
          <w:bCs/>
          <w:szCs w:val="21"/>
        </w:rPr>
      </w:pPr>
      <w:bookmarkStart w:id="275" w:name="_Toc389065175"/>
      <w:r>
        <w:rPr>
          <w:rFonts w:hint="eastAsia" w:ascii="宋体" w:hAnsi="宋体" w:cs="宋体"/>
          <w:b/>
          <w:bCs/>
          <w:szCs w:val="21"/>
        </w:rPr>
        <w:t>5.1.2参加开标会的投标人代表的要求见投标人须知前附表。</w:t>
      </w:r>
    </w:p>
    <w:p w14:paraId="640632E3">
      <w:pPr>
        <w:pStyle w:val="5"/>
        <w:spacing w:before="60" w:after="60" w:line="360" w:lineRule="auto"/>
        <w:ind w:firstLine="118"/>
        <w:rPr>
          <w:szCs w:val="24"/>
        </w:rPr>
      </w:pPr>
      <w:bookmarkStart w:id="276" w:name="_Toc57041923"/>
      <w:r>
        <w:rPr>
          <w:rFonts w:hint="eastAsia"/>
          <w:szCs w:val="24"/>
        </w:rPr>
        <w:t>5.2 开标程序</w:t>
      </w:r>
      <w:bookmarkEnd w:id="275"/>
      <w:bookmarkEnd w:id="276"/>
    </w:p>
    <w:p w14:paraId="6593D346">
      <w:pPr>
        <w:spacing w:line="360" w:lineRule="auto"/>
        <w:ind w:firstLine="420" w:firstLineChars="200"/>
        <w:rPr>
          <w:rFonts w:hint="eastAsia" w:ascii="宋体" w:hAnsi="宋体" w:cs="宋体"/>
          <w:szCs w:val="21"/>
        </w:rPr>
      </w:pPr>
      <w:bookmarkStart w:id="277" w:name="_Toc389065176"/>
      <w:r>
        <w:rPr>
          <w:rFonts w:hint="eastAsia" w:ascii="宋体" w:hAnsi="宋体" w:cs="宋体"/>
          <w:szCs w:val="21"/>
        </w:rPr>
        <w:t>5.2.1开标程序见投标人须知前附表。</w:t>
      </w:r>
    </w:p>
    <w:p w14:paraId="2A2509AD">
      <w:pPr>
        <w:spacing w:line="360" w:lineRule="auto"/>
        <w:ind w:firstLine="420" w:firstLineChars="200"/>
        <w:rPr>
          <w:rFonts w:ascii="宋体" w:hAnsi="宋体" w:cs="宋体"/>
          <w:b/>
          <w:bCs/>
          <w:szCs w:val="21"/>
        </w:rPr>
      </w:pPr>
      <w:r>
        <w:rPr>
          <w:rFonts w:hint="eastAsia" w:ascii="宋体" w:hAnsi="宋体" w:cs="宋体"/>
          <w:szCs w:val="21"/>
        </w:rPr>
        <w:t>5.2.2每个投标人应在“投标人须知前附表”规定的时间内完成电子投标文件的解密工作，解密后的电子投标文件将在开标会议上当众进行数据导入</w:t>
      </w:r>
      <w:r>
        <w:rPr>
          <w:rFonts w:hint="eastAsia" w:ascii="宋体" w:hAnsi="宋体" w:cs="宋体"/>
          <w:b/>
          <w:bCs/>
          <w:szCs w:val="21"/>
        </w:rPr>
        <w:t>。</w:t>
      </w:r>
    </w:p>
    <w:p w14:paraId="17536AA3">
      <w:pPr>
        <w:pStyle w:val="5"/>
        <w:spacing w:before="60" w:after="60" w:line="360" w:lineRule="auto"/>
        <w:ind w:firstLine="118"/>
        <w:rPr>
          <w:szCs w:val="24"/>
        </w:rPr>
      </w:pPr>
      <w:r>
        <w:rPr>
          <w:rFonts w:hint="eastAsia"/>
          <w:szCs w:val="24"/>
        </w:rPr>
        <w:t>5.3  特殊情况处理</w:t>
      </w:r>
    </w:p>
    <w:p w14:paraId="762EB27F">
      <w:pPr>
        <w:spacing w:line="360" w:lineRule="auto"/>
        <w:ind w:firstLine="420" w:firstLineChars="200"/>
        <w:jc w:val="left"/>
        <w:rPr>
          <w:rFonts w:ascii="宋体" w:hAnsi="宋体"/>
          <w:szCs w:val="21"/>
        </w:rPr>
      </w:pPr>
      <w:r>
        <w:rPr>
          <w:rFonts w:hint="eastAsia" w:ascii="宋体" w:hAnsi="宋体"/>
          <w:szCs w:val="21"/>
        </w:rPr>
        <w:t>5.3.1因投标人原因造成投标文件在规定的时间内未完成解密的，该投标将被拒绝。</w:t>
      </w:r>
    </w:p>
    <w:p w14:paraId="7882B6AF">
      <w:pPr>
        <w:spacing w:line="360" w:lineRule="auto"/>
        <w:ind w:firstLine="420" w:firstLineChars="200"/>
        <w:jc w:val="left"/>
        <w:rPr>
          <w:rFonts w:ascii="宋体" w:hAnsi="宋体"/>
          <w:szCs w:val="21"/>
        </w:rPr>
      </w:pPr>
      <w:r>
        <w:rPr>
          <w:rFonts w:hint="eastAsia" w:ascii="宋体" w:hAnsi="宋体"/>
          <w:szCs w:val="21"/>
        </w:rPr>
        <w:t>5.3.2投标人对开标有异议的，应当在开标现场提出，招标人当场予以答复。（如为远程开标，通过系统平台在开标现场提出）。</w:t>
      </w:r>
    </w:p>
    <w:bookmarkEnd w:id="277"/>
    <w:p w14:paraId="69F10B9C">
      <w:pPr>
        <w:pStyle w:val="112"/>
        <w:rPr>
          <w:color w:val="auto"/>
        </w:rPr>
      </w:pPr>
      <w:bookmarkStart w:id="278" w:name="_Toc57041924"/>
      <w:r>
        <w:rPr>
          <w:color w:val="auto"/>
        </w:rPr>
        <w:t>6.</w:t>
      </w:r>
      <w:bookmarkEnd w:id="265"/>
      <w:bookmarkEnd w:id="266"/>
      <w:bookmarkEnd w:id="267"/>
      <w:bookmarkEnd w:id="268"/>
      <w:bookmarkEnd w:id="269"/>
      <w:bookmarkEnd w:id="270"/>
      <w:bookmarkEnd w:id="271"/>
      <w:bookmarkEnd w:id="272"/>
      <w:bookmarkEnd w:id="273"/>
      <w:bookmarkEnd w:id="274"/>
      <w:r>
        <w:rPr>
          <w:rFonts w:hint="eastAsia"/>
          <w:color w:val="auto"/>
        </w:rPr>
        <w:t>评审</w:t>
      </w:r>
      <w:bookmarkEnd w:id="278"/>
    </w:p>
    <w:p w14:paraId="5F5750BD">
      <w:pPr>
        <w:pStyle w:val="5"/>
        <w:ind w:firstLine="118"/>
      </w:pPr>
      <w:bookmarkStart w:id="279" w:name="_Toc387526406"/>
      <w:bookmarkStart w:id="280" w:name="_Toc387526314"/>
      <w:bookmarkStart w:id="281" w:name="_Toc387526210"/>
      <w:bookmarkStart w:id="282" w:name="_Toc9909"/>
      <w:bookmarkStart w:id="283" w:name="_Toc57041925"/>
      <w:r>
        <w:t xml:space="preserve">6.1 </w:t>
      </w:r>
      <w:r>
        <w:rPr>
          <w:rFonts w:hint="eastAsia"/>
        </w:rPr>
        <w:t>评审</w:t>
      </w:r>
      <w:r>
        <w:t>委员会</w:t>
      </w:r>
      <w:bookmarkEnd w:id="279"/>
      <w:bookmarkEnd w:id="280"/>
      <w:bookmarkEnd w:id="281"/>
      <w:bookmarkEnd w:id="282"/>
      <w:bookmarkEnd w:id="283"/>
    </w:p>
    <w:p w14:paraId="33C1402C">
      <w:pPr>
        <w:spacing w:line="360" w:lineRule="auto"/>
        <w:ind w:firstLine="420"/>
        <w:rPr>
          <w:szCs w:val="21"/>
        </w:rPr>
      </w:pPr>
      <w:bookmarkStart w:id="284" w:name="_Toc269310951"/>
      <w:bookmarkStart w:id="285" w:name="_Toc339359778"/>
      <w:bookmarkStart w:id="286" w:name="_Toc324255922"/>
      <w:r>
        <w:rPr>
          <w:szCs w:val="21"/>
        </w:rPr>
        <w:t xml:space="preserve">6.1.1 </w:t>
      </w:r>
      <w:r>
        <w:rPr>
          <w:rFonts w:hint="eastAsia"/>
          <w:szCs w:val="21"/>
        </w:rPr>
        <w:t>评审</w:t>
      </w:r>
      <w:r>
        <w:rPr>
          <w:szCs w:val="21"/>
        </w:rPr>
        <w:t>由</w:t>
      </w:r>
      <w:r>
        <w:rPr>
          <w:rFonts w:hint="eastAsia"/>
          <w:szCs w:val="21"/>
        </w:rPr>
        <w:t>招标人</w:t>
      </w:r>
      <w:r>
        <w:rPr>
          <w:szCs w:val="21"/>
        </w:rPr>
        <w:t>依法组建的</w:t>
      </w:r>
      <w:r>
        <w:rPr>
          <w:rFonts w:hint="eastAsia"/>
          <w:szCs w:val="21"/>
        </w:rPr>
        <w:t>评审</w:t>
      </w:r>
      <w:r>
        <w:rPr>
          <w:szCs w:val="21"/>
        </w:rPr>
        <w:t>委员会负责。</w:t>
      </w:r>
      <w:r>
        <w:rPr>
          <w:rFonts w:hint="eastAsia"/>
          <w:szCs w:val="21"/>
        </w:rPr>
        <w:t>评审</w:t>
      </w:r>
      <w:r>
        <w:rPr>
          <w:szCs w:val="21"/>
        </w:rPr>
        <w:t>委员会由</w:t>
      </w:r>
      <w:r>
        <w:rPr>
          <w:rFonts w:hint="eastAsia"/>
          <w:szCs w:val="21"/>
        </w:rPr>
        <w:t>招标人</w:t>
      </w:r>
      <w:r>
        <w:rPr>
          <w:szCs w:val="21"/>
        </w:rPr>
        <w:t>代表以及有关技术、经济等方面的专家组成。</w:t>
      </w:r>
    </w:p>
    <w:p w14:paraId="17C7A5D6">
      <w:pPr>
        <w:spacing w:line="360" w:lineRule="auto"/>
        <w:ind w:firstLine="420"/>
        <w:rPr>
          <w:szCs w:val="21"/>
        </w:rPr>
      </w:pPr>
      <w:r>
        <w:rPr>
          <w:szCs w:val="21"/>
        </w:rPr>
        <w:t xml:space="preserve">6.1.2 </w:t>
      </w:r>
      <w:r>
        <w:rPr>
          <w:rFonts w:hint="eastAsia"/>
          <w:szCs w:val="21"/>
        </w:rPr>
        <w:t>评审</w:t>
      </w:r>
      <w:r>
        <w:rPr>
          <w:szCs w:val="21"/>
        </w:rPr>
        <w:t>委员会成员有下列情形之一的，应当回避：</w:t>
      </w:r>
    </w:p>
    <w:p w14:paraId="6131D204">
      <w:pPr>
        <w:spacing w:line="360" w:lineRule="auto"/>
        <w:ind w:firstLine="420"/>
        <w:rPr>
          <w:szCs w:val="21"/>
        </w:rPr>
      </w:pPr>
      <w:r>
        <w:rPr>
          <w:rFonts w:hint="eastAsia"/>
          <w:szCs w:val="21"/>
        </w:rPr>
        <w:t>（1）投标人</w:t>
      </w:r>
      <w:r>
        <w:rPr>
          <w:szCs w:val="21"/>
        </w:rPr>
        <w:t>或</w:t>
      </w:r>
      <w:r>
        <w:rPr>
          <w:rFonts w:hint="eastAsia"/>
          <w:szCs w:val="21"/>
        </w:rPr>
        <w:t>投标人</w:t>
      </w:r>
      <w:r>
        <w:rPr>
          <w:szCs w:val="21"/>
        </w:rPr>
        <w:t>主要负责人的近亲属；</w:t>
      </w:r>
    </w:p>
    <w:p w14:paraId="4F52C409">
      <w:pPr>
        <w:spacing w:line="360" w:lineRule="auto"/>
        <w:ind w:firstLine="420"/>
        <w:rPr>
          <w:szCs w:val="21"/>
        </w:rPr>
      </w:pPr>
      <w:r>
        <w:rPr>
          <w:rFonts w:hint="eastAsia"/>
          <w:szCs w:val="21"/>
        </w:rPr>
        <w:t>（2）</w:t>
      </w:r>
      <w:r>
        <w:rPr>
          <w:szCs w:val="21"/>
        </w:rPr>
        <w:t>项目主管部门或者行政监督部门的人员；</w:t>
      </w:r>
    </w:p>
    <w:p w14:paraId="35376C48">
      <w:pPr>
        <w:spacing w:line="360" w:lineRule="auto"/>
        <w:ind w:firstLine="420"/>
        <w:rPr>
          <w:szCs w:val="21"/>
        </w:rPr>
      </w:pPr>
      <w:r>
        <w:rPr>
          <w:rFonts w:hint="eastAsia"/>
          <w:szCs w:val="21"/>
        </w:rPr>
        <w:t>（3）</w:t>
      </w:r>
      <w:r>
        <w:rPr>
          <w:szCs w:val="21"/>
        </w:rPr>
        <w:t>与</w:t>
      </w:r>
      <w:r>
        <w:rPr>
          <w:rFonts w:hint="eastAsia"/>
          <w:szCs w:val="21"/>
        </w:rPr>
        <w:t>投标人</w:t>
      </w:r>
      <w:r>
        <w:rPr>
          <w:szCs w:val="21"/>
        </w:rPr>
        <w:t>有经济利益关系；</w:t>
      </w:r>
    </w:p>
    <w:p w14:paraId="2A41C5EC">
      <w:pPr>
        <w:spacing w:line="360" w:lineRule="auto"/>
        <w:ind w:firstLine="420"/>
        <w:rPr>
          <w:szCs w:val="21"/>
        </w:rPr>
      </w:pPr>
      <w:r>
        <w:rPr>
          <w:rFonts w:hint="eastAsia"/>
          <w:szCs w:val="21"/>
        </w:rPr>
        <w:t>（4）</w:t>
      </w:r>
      <w:r>
        <w:rPr>
          <w:szCs w:val="21"/>
        </w:rPr>
        <w:t>曾因在</w:t>
      </w:r>
      <w:r>
        <w:rPr>
          <w:rFonts w:hint="eastAsia"/>
          <w:szCs w:val="21"/>
        </w:rPr>
        <w:t>招标</w:t>
      </w:r>
      <w:r>
        <w:rPr>
          <w:szCs w:val="21"/>
        </w:rPr>
        <w:t>、</w:t>
      </w:r>
      <w:r>
        <w:rPr>
          <w:rFonts w:hint="eastAsia"/>
          <w:szCs w:val="21"/>
        </w:rPr>
        <w:t>评审</w:t>
      </w:r>
      <w:r>
        <w:rPr>
          <w:szCs w:val="21"/>
        </w:rPr>
        <w:t>以及其他与</w:t>
      </w:r>
      <w:r>
        <w:rPr>
          <w:rFonts w:hint="eastAsia"/>
          <w:szCs w:val="21"/>
        </w:rPr>
        <w:t>招标</w:t>
      </w:r>
      <w:r>
        <w:rPr>
          <w:szCs w:val="21"/>
        </w:rPr>
        <w:t>投标有关活动中从事违法行为而受过行政处罚或刑事处罚的</w:t>
      </w:r>
      <w:r>
        <w:rPr>
          <w:rFonts w:hint="eastAsia"/>
          <w:szCs w:val="21"/>
        </w:rPr>
        <w:t>。</w:t>
      </w:r>
    </w:p>
    <w:p w14:paraId="3852B851">
      <w:pPr>
        <w:pStyle w:val="5"/>
        <w:ind w:firstLine="118"/>
      </w:pPr>
      <w:bookmarkStart w:id="287" w:name="_Toc387526315"/>
      <w:bookmarkStart w:id="288" w:name="_Toc57041926"/>
      <w:bookmarkStart w:id="289" w:name="_Toc387526211"/>
      <w:bookmarkStart w:id="290" w:name="_Toc387526407"/>
      <w:bookmarkStart w:id="291" w:name="_Toc12316"/>
      <w:r>
        <w:t>6.2</w:t>
      </w:r>
      <w:bookmarkEnd w:id="284"/>
      <w:bookmarkEnd w:id="285"/>
      <w:bookmarkEnd w:id="286"/>
      <w:r>
        <w:rPr>
          <w:rFonts w:hint="eastAsia"/>
        </w:rPr>
        <w:t xml:space="preserve"> 评审</w:t>
      </w:r>
      <w:r>
        <w:t>原则</w:t>
      </w:r>
      <w:bookmarkEnd w:id="287"/>
      <w:bookmarkEnd w:id="288"/>
      <w:bookmarkEnd w:id="289"/>
      <w:bookmarkEnd w:id="290"/>
      <w:bookmarkEnd w:id="291"/>
    </w:p>
    <w:p w14:paraId="5875BD23">
      <w:pPr>
        <w:spacing w:line="360" w:lineRule="auto"/>
        <w:ind w:firstLine="420" w:firstLineChars="200"/>
      </w:pPr>
      <w:r>
        <w:rPr>
          <w:rFonts w:hint="eastAsia"/>
        </w:rPr>
        <w:t>评审</w:t>
      </w:r>
      <w:r>
        <w:t>活动遵循公平、公正、科学和择优的原则。</w:t>
      </w:r>
    </w:p>
    <w:p w14:paraId="37E5CD05">
      <w:pPr>
        <w:pStyle w:val="5"/>
        <w:ind w:firstLine="118"/>
      </w:pPr>
      <w:bookmarkStart w:id="292" w:name="_Toc387526408"/>
      <w:bookmarkStart w:id="293" w:name="_Toc144974533"/>
      <w:bookmarkStart w:id="294" w:name="_Toc6500"/>
      <w:bookmarkStart w:id="295" w:name="_Toc387526212"/>
      <w:bookmarkStart w:id="296" w:name="_Toc247085723"/>
      <w:bookmarkStart w:id="297" w:name="_Toc246996209"/>
      <w:bookmarkStart w:id="298" w:name="_Toc152042341"/>
      <w:bookmarkStart w:id="299" w:name="_Toc179632583"/>
      <w:bookmarkStart w:id="300" w:name="_Toc246996952"/>
      <w:bookmarkStart w:id="301" w:name="_Toc387526316"/>
      <w:bookmarkStart w:id="302" w:name="_Toc366679696"/>
      <w:bookmarkStart w:id="303" w:name="_Toc152045565"/>
      <w:bookmarkStart w:id="304" w:name="_Toc57041927"/>
      <w:r>
        <w:t xml:space="preserve">6.3 </w:t>
      </w:r>
      <w:bookmarkEnd w:id="292"/>
      <w:bookmarkEnd w:id="293"/>
      <w:bookmarkEnd w:id="294"/>
      <w:bookmarkEnd w:id="295"/>
      <w:bookmarkEnd w:id="296"/>
      <w:bookmarkEnd w:id="297"/>
      <w:bookmarkEnd w:id="298"/>
      <w:bookmarkEnd w:id="299"/>
      <w:bookmarkEnd w:id="300"/>
      <w:bookmarkEnd w:id="301"/>
      <w:bookmarkEnd w:id="302"/>
      <w:bookmarkEnd w:id="303"/>
      <w:r>
        <w:rPr>
          <w:rFonts w:hint="eastAsia"/>
        </w:rPr>
        <w:t>评审</w:t>
      </w:r>
      <w:bookmarkEnd w:id="304"/>
    </w:p>
    <w:p w14:paraId="05F7027A">
      <w:pPr>
        <w:spacing w:line="400" w:lineRule="exact"/>
        <w:ind w:firstLine="420" w:firstLineChars="200"/>
      </w:pPr>
      <w:r>
        <w:rPr>
          <w:rFonts w:hint="eastAsia"/>
        </w:rPr>
        <w:t>评审委员会按照第三章“评审办法”规定的方法、评审因素、标准和程序对投标文件进行评审。第三章“评审办法”没有规定的方法、评审因素和标准，不作为评审依据。</w:t>
      </w:r>
    </w:p>
    <w:p w14:paraId="7026A4A3">
      <w:pPr>
        <w:pStyle w:val="112"/>
        <w:rPr>
          <w:color w:val="auto"/>
        </w:rPr>
      </w:pPr>
      <w:bookmarkStart w:id="305" w:name="_Toc387526213"/>
      <w:bookmarkStart w:id="306" w:name="_Toc387526409"/>
      <w:bookmarkStart w:id="307" w:name="_Toc387526317"/>
      <w:bookmarkStart w:id="308" w:name="_Toc57041928"/>
      <w:bookmarkStart w:id="309" w:name="_Toc22985"/>
      <w:bookmarkStart w:id="310" w:name="_Toc369077567"/>
      <w:bookmarkStart w:id="311" w:name="_Toc368760433"/>
      <w:r>
        <w:rPr>
          <w:color w:val="auto"/>
        </w:rPr>
        <w:t>7.</w:t>
      </w:r>
      <w:r>
        <w:rPr>
          <w:rFonts w:hint="eastAsia"/>
          <w:color w:val="auto"/>
        </w:rPr>
        <w:t>评审结果公示</w:t>
      </w:r>
      <w:bookmarkEnd w:id="305"/>
      <w:bookmarkEnd w:id="306"/>
      <w:bookmarkEnd w:id="307"/>
      <w:bookmarkEnd w:id="308"/>
      <w:bookmarkEnd w:id="309"/>
    </w:p>
    <w:p w14:paraId="1586E266">
      <w:pPr>
        <w:spacing w:line="360" w:lineRule="auto"/>
        <w:ind w:firstLine="420"/>
        <w:rPr>
          <w:szCs w:val="21"/>
        </w:rPr>
      </w:pPr>
      <w:r>
        <w:rPr>
          <w:rFonts w:hint="eastAsia"/>
          <w:szCs w:val="21"/>
        </w:rPr>
        <w:t>7.1招标人在收到评标报告之日起3日内在本招标项目招标公告发布的同一媒介发布评标结果公示，公示期不少于3日。</w:t>
      </w:r>
    </w:p>
    <w:p w14:paraId="72A82D28">
      <w:pPr>
        <w:spacing w:line="360" w:lineRule="auto"/>
        <w:ind w:firstLine="420"/>
        <w:rPr>
          <w:szCs w:val="21"/>
        </w:rPr>
      </w:pPr>
      <w:r>
        <w:rPr>
          <w:rFonts w:hint="eastAsia"/>
          <w:szCs w:val="21"/>
        </w:rPr>
        <w:t>7.2投标人或者其他利害关系人对评标结果有异议的，应当在公示期间提出。招标人自收到异议之日起3日内作出答复。对招标人答复不满意或招标人拒不答复的，投标人可按规定程序向有关行政监督部门投诉。</w:t>
      </w:r>
    </w:p>
    <w:p w14:paraId="38D94A06">
      <w:pPr>
        <w:pStyle w:val="112"/>
        <w:rPr>
          <w:color w:val="auto"/>
        </w:rPr>
      </w:pPr>
      <w:bookmarkStart w:id="312" w:name="_Toc387526410"/>
      <w:bookmarkStart w:id="313" w:name="_Toc387526318"/>
      <w:bookmarkStart w:id="314" w:name="_Toc15824"/>
      <w:bookmarkStart w:id="315" w:name="_Toc57041929"/>
      <w:bookmarkStart w:id="316" w:name="_Toc387526214"/>
      <w:r>
        <w:rPr>
          <w:rFonts w:hint="eastAsia"/>
          <w:color w:val="auto"/>
        </w:rPr>
        <w:t>8.</w:t>
      </w:r>
      <w:r>
        <w:rPr>
          <w:color w:val="auto"/>
        </w:rPr>
        <w:t>合同授予</w:t>
      </w:r>
      <w:bookmarkEnd w:id="243"/>
      <w:bookmarkEnd w:id="244"/>
      <w:bookmarkEnd w:id="245"/>
      <w:bookmarkEnd w:id="246"/>
      <w:bookmarkEnd w:id="247"/>
      <w:bookmarkEnd w:id="248"/>
      <w:bookmarkEnd w:id="249"/>
      <w:bookmarkEnd w:id="250"/>
      <w:bookmarkEnd w:id="251"/>
      <w:bookmarkEnd w:id="310"/>
      <w:bookmarkEnd w:id="311"/>
      <w:bookmarkEnd w:id="312"/>
      <w:bookmarkEnd w:id="313"/>
      <w:bookmarkEnd w:id="314"/>
      <w:bookmarkEnd w:id="315"/>
      <w:bookmarkEnd w:id="316"/>
    </w:p>
    <w:p w14:paraId="02F990A4">
      <w:pPr>
        <w:spacing w:line="360" w:lineRule="auto"/>
        <w:ind w:firstLine="420" w:firstLineChars="200"/>
        <w:outlineLvl w:val="0"/>
      </w:pPr>
      <w:bookmarkStart w:id="317" w:name="_Toc57041930"/>
      <w:bookmarkStart w:id="318" w:name="_Toc366679698"/>
      <w:bookmarkStart w:id="319" w:name="_Toc247085725"/>
      <w:bookmarkStart w:id="320" w:name="_Toc152045567"/>
      <w:bookmarkStart w:id="321" w:name="_Toc179632585"/>
      <w:bookmarkStart w:id="322" w:name="_Toc387526215"/>
      <w:bookmarkStart w:id="323" w:name="_Toc246996954"/>
      <w:bookmarkStart w:id="324" w:name="_Toc387526411"/>
      <w:bookmarkStart w:id="325" w:name="_Toc387526319"/>
      <w:bookmarkStart w:id="326" w:name="_Toc152042343"/>
      <w:bookmarkStart w:id="327" w:name="_Toc5192"/>
      <w:bookmarkStart w:id="328" w:name="_Toc246996211"/>
      <w:bookmarkStart w:id="329" w:name="_Toc144974535"/>
      <w:r>
        <w:rPr>
          <w:rFonts w:hint="eastAsia"/>
        </w:rPr>
        <w:t>8.1 定标方式</w:t>
      </w:r>
      <w:bookmarkEnd w:id="317"/>
      <w:bookmarkEnd w:id="318"/>
      <w:bookmarkEnd w:id="319"/>
      <w:bookmarkEnd w:id="320"/>
      <w:bookmarkEnd w:id="321"/>
      <w:bookmarkEnd w:id="322"/>
      <w:bookmarkEnd w:id="323"/>
      <w:bookmarkEnd w:id="324"/>
      <w:bookmarkEnd w:id="325"/>
      <w:bookmarkEnd w:id="326"/>
      <w:bookmarkEnd w:id="327"/>
      <w:bookmarkEnd w:id="328"/>
      <w:bookmarkEnd w:id="329"/>
    </w:p>
    <w:p w14:paraId="3B2E897E">
      <w:pPr>
        <w:autoSpaceDE w:val="0"/>
        <w:autoSpaceDN w:val="0"/>
        <w:adjustRightInd w:val="0"/>
        <w:spacing w:line="360" w:lineRule="auto"/>
        <w:ind w:firstLine="420" w:firstLineChars="200"/>
        <w:jc w:val="left"/>
        <w:rPr>
          <w:rFonts w:ascii="宋体" w:hAnsi="宋体" w:cs="宋体"/>
          <w:kern w:val="0"/>
          <w:szCs w:val="21"/>
        </w:rPr>
      </w:pPr>
      <w:bookmarkStart w:id="330" w:name="_Toc387526216"/>
      <w:bookmarkStart w:id="331" w:name="_Toc387526412"/>
      <w:bookmarkStart w:id="332" w:name="_Toc29357"/>
      <w:bookmarkStart w:id="333" w:name="_Toc387526320"/>
      <w:r>
        <w:rPr>
          <w:rFonts w:hint="eastAsia" w:ascii="宋体" w:hAnsi="宋体" w:cs="宋体"/>
          <w:kern w:val="0"/>
          <w:szCs w:val="21"/>
        </w:rPr>
        <w:t>除“投标人须知前附表”规定评标委员会直接确定中标人外，招标人依据评标委员会推荐的中标候选人确定中标人，评标委员会推荐中标候选人的人数见“投标人须知前附表”。</w:t>
      </w:r>
    </w:p>
    <w:p w14:paraId="035D7D2C">
      <w:pPr>
        <w:spacing w:line="360" w:lineRule="auto"/>
        <w:ind w:firstLine="420" w:firstLineChars="200"/>
        <w:outlineLvl w:val="0"/>
      </w:pPr>
      <w:bookmarkStart w:id="334" w:name="_Toc57041931"/>
      <w:r>
        <w:rPr>
          <w:rFonts w:hint="eastAsia"/>
        </w:rPr>
        <w:t>8.2</w:t>
      </w:r>
      <w:bookmarkEnd w:id="330"/>
      <w:bookmarkEnd w:id="331"/>
      <w:bookmarkEnd w:id="332"/>
      <w:bookmarkEnd w:id="333"/>
      <w:bookmarkStart w:id="335" w:name="_Toc246996212"/>
      <w:bookmarkStart w:id="336" w:name="_Toc387526217"/>
      <w:bookmarkStart w:id="337" w:name="_Toc179632586"/>
      <w:bookmarkStart w:id="338" w:name="_Toc13765"/>
      <w:bookmarkStart w:id="339" w:name="_Toc247085726"/>
      <w:bookmarkStart w:id="340" w:name="_Toc366679700"/>
      <w:bookmarkStart w:id="341" w:name="_Toc246996955"/>
      <w:bookmarkStart w:id="342" w:name="_Toc387526413"/>
      <w:bookmarkStart w:id="343" w:name="_Toc387526321"/>
      <w:r>
        <w:rPr>
          <w:rFonts w:hint="eastAsia"/>
        </w:rPr>
        <w:t xml:space="preserve"> </w:t>
      </w:r>
      <w:r>
        <w:t>中标</w:t>
      </w:r>
      <w:r>
        <w:rPr>
          <w:rFonts w:hint="eastAsia"/>
        </w:rPr>
        <w:t>人公告及中标</w:t>
      </w:r>
      <w:r>
        <w:t>通知</w:t>
      </w:r>
      <w:bookmarkEnd w:id="334"/>
      <w:bookmarkEnd w:id="335"/>
      <w:bookmarkEnd w:id="336"/>
      <w:bookmarkEnd w:id="337"/>
      <w:bookmarkEnd w:id="338"/>
      <w:bookmarkEnd w:id="339"/>
      <w:bookmarkEnd w:id="340"/>
      <w:bookmarkEnd w:id="341"/>
      <w:bookmarkEnd w:id="342"/>
      <w:bookmarkEnd w:id="343"/>
    </w:p>
    <w:p w14:paraId="3497B5A9">
      <w:pPr>
        <w:pStyle w:val="5"/>
        <w:ind w:firstLine="103"/>
        <w:rPr>
          <w:rFonts w:hAnsi="Times New Roman" w:eastAsia="宋体"/>
          <w:sz w:val="21"/>
          <w:szCs w:val="24"/>
        </w:rPr>
      </w:pPr>
      <w:bookmarkStart w:id="344" w:name="_Toc57041932"/>
      <w:bookmarkStart w:id="345" w:name="_Toc246996213"/>
      <w:bookmarkStart w:id="346" w:name="_Toc179632587"/>
      <w:bookmarkStart w:id="347" w:name="_Toc387526414"/>
      <w:bookmarkStart w:id="348" w:name="_Toc387526218"/>
      <w:bookmarkStart w:id="349" w:name="_Toc366679701"/>
      <w:bookmarkStart w:id="350" w:name="_Toc247085727"/>
      <w:bookmarkStart w:id="351" w:name="_Toc26386"/>
      <w:bookmarkStart w:id="352" w:name="_Toc246996956"/>
      <w:bookmarkStart w:id="353" w:name="_Toc387526322"/>
      <w:r>
        <w:rPr>
          <w:rFonts w:hint="eastAsia" w:hAnsi="Times New Roman" w:eastAsia="宋体"/>
          <w:sz w:val="21"/>
          <w:szCs w:val="24"/>
        </w:rPr>
        <w:t>评标结果公示期满无异议或投诉的，招标人应按规定的格式以书面形式向中标人发出中标通知书。同时，按规定的格式发出中标结果公告，将中标结果通知未中标的投标人。</w:t>
      </w:r>
      <w:bookmarkEnd w:id="344"/>
    </w:p>
    <w:p w14:paraId="3B20E278">
      <w:pPr>
        <w:pStyle w:val="5"/>
        <w:ind w:firstLine="237" w:firstLineChars="99"/>
      </w:pPr>
      <w:bookmarkStart w:id="354" w:name="_Toc57041933"/>
      <w:r>
        <w:rPr>
          <w:rFonts w:hint="eastAsia"/>
        </w:rPr>
        <w:t xml:space="preserve">8.3 </w:t>
      </w:r>
      <w:r>
        <w:t>履约保证金</w:t>
      </w:r>
      <w:bookmarkEnd w:id="345"/>
      <w:bookmarkEnd w:id="346"/>
      <w:bookmarkEnd w:id="347"/>
      <w:bookmarkEnd w:id="348"/>
      <w:bookmarkEnd w:id="349"/>
      <w:bookmarkEnd w:id="350"/>
      <w:bookmarkEnd w:id="351"/>
      <w:bookmarkEnd w:id="352"/>
      <w:bookmarkEnd w:id="353"/>
      <w:bookmarkEnd w:id="354"/>
    </w:p>
    <w:p w14:paraId="779CF9C5">
      <w:pPr>
        <w:spacing w:line="360" w:lineRule="auto"/>
        <w:ind w:firstLine="420" w:firstLineChars="200"/>
        <w:rPr>
          <w:szCs w:val="21"/>
        </w:rPr>
      </w:pPr>
      <w:r>
        <w:rPr>
          <w:rFonts w:hint="eastAsia"/>
        </w:rPr>
        <w:t>8</w:t>
      </w:r>
      <w:r>
        <w:t>.</w:t>
      </w:r>
      <w:r>
        <w:rPr>
          <w:rFonts w:hint="eastAsia"/>
        </w:rPr>
        <w:t>3</w:t>
      </w:r>
      <w:r>
        <w:t>.1</w:t>
      </w:r>
      <w:r>
        <w:rPr>
          <w:rFonts w:hint="eastAsia"/>
          <w:szCs w:val="21"/>
        </w:rPr>
        <w:t>在签订合同前，中标人应按“投标人须知前附表”规定的金额、担保形式和招标文件第四章“合同条款及格式”规定的履约担保格式向招标人提交履约保证金。联合体中标的，其履约保证金由牵头人递交，并应符合“投标人须知前附表”规定的金额、担保形式和招标文件第四章“合同条款及格式”规定的履约担保格式要求。</w:t>
      </w:r>
    </w:p>
    <w:p w14:paraId="5C26F526">
      <w:pPr>
        <w:spacing w:line="360" w:lineRule="auto"/>
        <w:ind w:firstLine="420" w:firstLineChars="200"/>
      </w:pPr>
      <w:r>
        <w:rPr>
          <w:rFonts w:hint="eastAsia"/>
        </w:rPr>
        <w:t>8</w:t>
      </w:r>
      <w:r>
        <w:t>.</w:t>
      </w:r>
      <w:r>
        <w:rPr>
          <w:rFonts w:hint="eastAsia"/>
        </w:rPr>
        <w:t>3</w:t>
      </w:r>
      <w:r>
        <w:t>.2 中标人不能按本章第</w:t>
      </w:r>
      <w:r>
        <w:rPr>
          <w:rFonts w:hint="eastAsia"/>
        </w:rPr>
        <w:t>8</w:t>
      </w:r>
      <w:r>
        <w:t>.</w:t>
      </w:r>
      <w:r>
        <w:rPr>
          <w:rFonts w:hint="eastAsia"/>
        </w:rPr>
        <w:t>3</w:t>
      </w:r>
      <w:r>
        <w:t>.1项要求提交履约保证金的，视为放弃中标，其投标保证金不予退还，给</w:t>
      </w:r>
      <w:r>
        <w:rPr>
          <w:rFonts w:hint="eastAsia"/>
        </w:rPr>
        <w:t>招标人</w:t>
      </w:r>
      <w:r>
        <w:t>造成的损失超过投标保证金数额的，中标人还应当对超过部分予以赔偿。</w:t>
      </w:r>
    </w:p>
    <w:p w14:paraId="5D9792F0">
      <w:pPr>
        <w:pStyle w:val="5"/>
        <w:ind w:firstLine="118"/>
      </w:pPr>
      <w:bookmarkStart w:id="355" w:name="_Toc387526323"/>
      <w:bookmarkStart w:id="356" w:name="_Toc10565"/>
      <w:bookmarkStart w:id="357" w:name="_Toc246996214"/>
      <w:bookmarkStart w:id="358" w:name="_Toc57041934"/>
      <w:bookmarkStart w:id="359" w:name="_Toc179632588"/>
      <w:bookmarkStart w:id="360" w:name="_Toc246996957"/>
      <w:bookmarkStart w:id="361" w:name="_Toc387526415"/>
      <w:bookmarkStart w:id="362" w:name="_Toc247085728"/>
      <w:bookmarkStart w:id="363" w:name="_Toc387526219"/>
      <w:bookmarkStart w:id="364" w:name="_Toc366679702"/>
      <w:r>
        <w:rPr>
          <w:rFonts w:hint="eastAsia"/>
        </w:rPr>
        <w:t xml:space="preserve">8.4 </w:t>
      </w:r>
      <w:r>
        <w:t>签订合同</w:t>
      </w:r>
      <w:bookmarkEnd w:id="355"/>
      <w:bookmarkEnd w:id="356"/>
      <w:bookmarkEnd w:id="357"/>
      <w:bookmarkEnd w:id="358"/>
      <w:bookmarkEnd w:id="359"/>
      <w:bookmarkEnd w:id="360"/>
      <w:bookmarkEnd w:id="361"/>
      <w:bookmarkEnd w:id="362"/>
      <w:bookmarkEnd w:id="363"/>
      <w:bookmarkEnd w:id="364"/>
    </w:p>
    <w:p w14:paraId="1AECDCC1">
      <w:pPr>
        <w:spacing w:line="360" w:lineRule="auto"/>
        <w:ind w:firstLine="420" w:firstLineChars="200"/>
        <w:rPr>
          <w:rFonts w:ascii="宋体" w:hAnsi="宋体" w:cs="宋体"/>
          <w:szCs w:val="21"/>
        </w:rPr>
      </w:pPr>
      <w:r>
        <w:rPr>
          <w:rFonts w:hint="eastAsia"/>
        </w:rPr>
        <w:t>8</w:t>
      </w:r>
      <w:r>
        <w:t>.</w:t>
      </w:r>
      <w:r>
        <w:rPr>
          <w:rFonts w:hint="eastAsia"/>
        </w:rPr>
        <w:t>4</w:t>
      </w:r>
      <w:r>
        <w:t>.1</w:t>
      </w:r>
      <w:r>
        <w:rPr>
          <w:rFonts w:hint="eastAsia"/>
        </w:rPr>
        <w:t>招标人</w:t>
      </w:r>
      <w:r>
        <w:t>和中标人应当自中标通知书发出之日起30天内，根据</w:t>
      </w:r>
      <w:r>
        <w:rPr>
          <w:rFonts w:hint="eastAsia"/>
        </w:rPr>
        <w:t>招标文件</w:t>
      </w:r>
      <w:r>
        <w:t>和中标人的</w:t>
      </w:r>
      <w:r>
        <w:rPr>
          <w:rFonts w:hint="eastAsia"/>
        </w:rPr>
        <w:t>投标文件</w:t>
      </w:r>
      <w:r>
        <w:t>订立书面合同。中标人无正当理由拒签合同的，</w:t>
      </w:r>
      <w:r>
        <w:rPr>
          <w:rFonts w:hint="eastAsia"/>
        </w:rPr>
        <w:t>招标人</w:t>
      </w:r>
      <w:r>
        <w:t>取消其中标资格，其投标保证金不予退还；给</w:t>
      </w:r>
      <w:r>
        <w:rPr>
          <w:rFonts w:hint="eastAsia"/>
        </w:rPr>
        <w:t>招标人</w:t>
      </w:r>
      <w:r>
        <w:t>造成的损失超过投标保证金数额的，中标人还应当对超过部分予以赔偿。</w:t>
      </w:r>
      <w:r>
        <w:rPr>
          <w:rFonts w:hint="eastAsia" w:ascii="宋体" w:hAnsi="宋体" w:cs="宋体"/>
          <w:szCs w:val="21"/>
        </w:rPr>
        <w:t>对依法必须进行招标的项目的中标人，由有关行政监督部门责令改正。</w:t>
      </w:r>
    </w:p>
    <w:p w14:paraId="0BDD8A3E">
      <w:pPr>
        <w:spacing w:line="360" w:lineRule="auto"/>
        <w:ind w:firstLine="420" w:firstLineChars="200"/>
      </w:pPr>
      <w:r>
        <w:rPr>
          <w:rFonts w:hint="eastAsia"/>
        </w:rPr>
        <w:t>8</w:t>
      </w:r>
      <w:r>
        <w:t>.</w:t>
      </w:r>
      <w:r>
        <w:rPr>
          <w:rFonts w:hint="eastAsia"/>
        </w:rPr>
        <w:t>4</w:t>
      </w:r>
      <w:r>
        <w:t>.2</w:t>
      </w:r>
      <w:r>
        <w:rPr>
          <w:rFonts w:hint="eastAsia"/>
        </w:rPr>
        <w:t>排名第一的中标候选人（或者评标委员会依据招标人的授权直接确定的中标人）放弃中标，或因不可抗力提出不能履行合同，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4D0D33DB">
      <w:pPr>
        <w:spacing w:line="360" w:lineRule="auto"/>
        <w:ind w:firstLine="420" w:firstLineChars="200"/>
      </w:pPr>
      <w:r>
        <w:rPr>
          <w:rFonts w:hint="eastAsia"/>
        </w:rPr>
        <w:t>8.4.3</w:t>
      </w:r>
      <w:r>
        <w:t>发出中标通知书后，</w:t>
      </w:r>
      <w:r>
        <w:rPr>
          <w:rFonts w:hint="eastAsia"/>
        </w:rPr>
        <w:t>招标人</w:t>
      </w:r>
      <w:r>
        <w:t>无正当理由拒签合同的，</w:t>
      </w:r>
      <w:r>
        <w:rPr>
          <w:rFonts w:hint="eastAsia"/>
        </w:rPr>
        <w:t>招标人</w:t>
      </w:r>
      <w:r>
        <w:t>向中标人退还投标保证金；给中标人造成损失的，还应当赔偿损失。</w:t>
      </w:r>
    </w:p>
    <w:bookmarkEnd w:id="230"/>
    <w:bookmarkEnd w:id="231"/>
    <w:bookmarkEnd w:id="232"/>
    <w:bookmarkEnd w:id="233"/>
    <w:p w14:paraId="0E8B2F67">
      <w:pPr>
        <w:pStyle w:val="112"/>
        <w:rPr>
          <w:color w:val="auto"/>
        </w:rPr>
      </w:pPr>
      <w:bookmarkStart w:id="365" w:name="_Toc368759383"/>
      <w:bookmarkStart w:id="366" w:name="_Toc30717"/>
      <w:bookmarkStart w:id="367" w:name="_Toc367894807"/>
      <w:bookmarkStart w:id="368" w:name="_Toc387526416"/>
      <w:bookmarkStart w:id="369" w:name="_Toc57041935"/>
      <w:bookmarkStart w:id="370" w:name="_Toc387526220"/>
      <w:bookmarkStart w:id="371" w:name="_Toc363329380"/>
      <w:bookmarkStart w:id="372" w:name="_Toc368760435"/>
      <w:bookmarkStart w:id="373" w:name="_Toc322503149"/>
      <w:bookmarkStart w:id="374" w:name="_Toc387526324"/>
      <w:bookmarkStart w:id="375" w:name="_Toc369077569"/>
      <w:r>
        <w:rPr>
          <w:rFonts w:hint="eastAsia"/>
          <w:color w:val="auto"/>
        </w:rPr>
        <w:t>9</w:t>
      </w:r>
      <w:r>
        <w:rPr>
          <w:color w:val="auto"/>
        </w:rPr>
        <w:t>.纪律和监督</w:t>
      </w:r>
      <w:bookmarkEnd w:id="365"/>
      <w:bookmarkEnd w:id="366"/>
      <w:bookmarkEnd w:id="367"/>
      <w:bookmarkEnd w:id="368"/>
      <w:bookmarkEnd w:id="369"/>
      <w:bookmarkEnd w:id="370"/>
      <w:bookmarkEnd w:id="371"/>
      <w:bookmarkEnd w:id="372"/>
      <w:bookmarkEnd w:id="373"/>
      <w:bookmarkEnd w:id="374"/>
      <w:bookmarkEnd w:id="375"/>
    </w:p>
    <w:p w14:paraId="0CA649E7">
      <w:pPr>
        <w:pStyle w:val="5"/>
        <w:ind w:firstLine="118"/>
      </w:pPr>
      <w:bookmarkStart w:id="376" w:name="_Toc322503150"/>
      <w:bookmarkStart w:id="377" w:name="_Toc387526221"/>
      <w:bookmarkStart w:id="378" w:name="_Toc29855"/>
      <w:bookmarkStart w:id="379" w:name="_Toc152045575"/>
      <w:bookmarkStart w:id="380" w:name="_Toc57041936"/>
      <w:bookmarkStart w:id="381" w:name="_Toc144974543"/>
      <w:bookmarkStart w:id="382" w:name="_Toc387526325"/>
      <w:bookmarkStart w:id="383" w:name="_Toc152042351"/>
      <w:bookmarkStart w:id="384" w:name="_Toc269310963"/>
      <w:bookmarkStart w:id="385" w:name="_Toc387526417"/>
      <w:r>
        <w:rPr>
          <w:rFonts w:hint="eastAsia"/>
        </w:rPr>
        <w:t>9</w:t>
      </w:r>
      <w:r>
        <w:t>.1 对</w:t>
      </w:r>
      <w:r>
        <w:rPr>
          <w:rFonts w:hint="eastAsia"/>
        </w:rPr>
        <w:t>招标人</w:t>
      </w:r>
      <w:r>
        <w:t>的纪律要求</w:t>
      </w:r>
      <w:bookmarkEnd w:id="376"/>
      <w:bookmarkEnd w:id="377"/>
      <w:bookmarkEnd w:id="378"/>
      <w:bookmarkEnd w:id="379"/>
      <w:bookmarkEnd w:id="380"/>
      <w:bookmarkEnd w:id="381"/>
      <w:bookmarkEnd w:id="382"/>
      <w:bookmarkEnd w:id="383"/>
      <w:bookmarkEnd w:id="384"/>
      <w:bookmarkEnd w:id="385"/>
    </w:p>
    <w:p w14:paraId="626DE155">
      <w:pPr>
        <w:spacing w:line="360" w:lineRule="auto"/>
        <w:ind w:firstLine="420"/>
        <w:rPr>
          <w:szCs w:val="21"/>
        </w:rPr>
      </w:pPr>
      <w:r>
        <w:rPr>
          <w:rFonts w:hint="eastAsia"/>
          <w:szCs w:val="21"/>
        </w:rPr>
        <w:t>招标人</w:t>
      </w:r>
      <w:r>
        <w:rPr>
          <w:szCs w:val="21"/>
        </w:rPr>
        <w:t>不得泄露</w:t>
      </w:r>
      <w:r>
        <w:rPr>
          <w:rFonts w:hint="eastAsia"/>
          <w:szCs w:val="21"/>
        </w:rPr>
        <w:t>招标</w:t>
      </w:r>
      <w:r>
        <w:rPr>
          <w:szCs w:val="21"/>
        </w:rPr>
        <w:t>投标活动中应当保密的情况和资料，不得与</w:t>
      </w:r>
      <w:r>
        <w:rPr>
          <w:rFonts w:hint="eastAsia"/>
          <w:szCs w:val="21"/>
        </w:rPr>
        <w:t>投标人</w:t>
      </w:r>
      <w:r>
        <w:rPr>
          <w:szCs w:val="21"/>
        </w:rPr>
        <w:t>串通损害国家利益、社会公众利益或者他人合法权益。</w:t>
      </w:r>
    </w:p>
    <w:p w14:paraId="2C6A5F7C">
      <w:pPr>
        <w:pStyle w:val="5"/>
        <w:spacing w:before="60" w:after="60" w:line="360" w:lineRule="auto"/>
        <w:ind w:firstLine="118"/>
        <w:rPr>
          <w:szCs w:val="24"/>
        </w:rPr>
      </w:pPr>
      <w:bookmarkStart w:id="386" w:name="_Toc322503151"/>
      <w:bookmarkStart w:id="387" w:name="_Toc1420"/>
      <w:bookmarkStart w:id="388" w:name="_Toc387526222"/>
      <w:bookmarkStart w:id="389" w:name="_Toc387526418"/>
      <w:bookmarkStart w:id="390" w:name="_Toc57041937"/>
      <w:bookmarkStart w:id="391" w:name="_Toc387526326"/>
      <w:bookmarkStart w:id="392" w:name="_Toc144974544"/>
      <w:bookmarkStart w:id="393" w:name="_Toc152045576"/>
      <w:bookmarkStart w:id="394" w:name="_Toc152042352"/>
      <w:bookmarkStart w:id="395" w:name="_Toc269310964"/>
      <w:r>
        <w:rPr>
          <w:rFonts w:hint="eastAsia"/>
          <w:szCs w:val="24"/>
        </w:rPr>
        <w:t>9</w:t>
      </w:r>
      <w:r>
        <w:rPr>
          <w:szCs w:val="24"/>
        </w:rPr>
        <w:t>.2 对</w:t>
      </w:r>
      <w:r>
        <w:rPr>
          <w:rFonts w:hint="eastAsia"/>
          <w:szCs w:val="24"/>
        </w:rPr>
        <w:t>投标人</w:t>
      </w:r>
      <w:r>
        <w:rPr>
          <w:szCs w:val="24"/>
        </w:rPr>
        <w:t>的纪律要求</w:t>
      </w:r>
      <w:bookmarkEnd w:id="386"/>
      <w:bookmarkEnd w:id="387"/>
      <w:bookmarkEnd w:id="388"/>
      <w:bookmarkEnd w:id="389"/>
      <w:bookmarkEnd w:id="390"/>
      <w:bookmarkEnd w:id="391"/>
      <w:bookmarkEnd w:id="392"/>
      <w:bookmarkEnd w:id="393"/>
      <w:bookmarkEnd w:id="394"/>
      <w:bookmarkEnd w:id="395"/>
    </w:p>
    <w:p w14:paraId="07DDD737">
      <w:pPr>
        <w:spacing w:line="360" w:lineRule="auto"/>
        <w:ind w:firstLine="420"/>
        <w:rPr>
          <w:szCs w:val="21"/>
        </w:rPr>
      </w:pPr>
      <w:bookmarkStart w:id="396" w:name="_Toc322503152"/>
      <w:bookmarkStart w:id="397" w:name="_Toc144974545"/>
      <w:bookmarkStart w:id="398" w:name="_Toc269310965"/>
      <w:bookmarkStart w:id="399" w:name="_Toc152045577"/>
      <w:bookmarkStart w:id="400" w:name="_Toc152042353"/>
      <w:r>
        <w:rPr>
          <w:rFonts w:hint="eastAsia"/>
          <w:szCs w:val="21"/>
        </w:rPr>
        <w:t>投标人</w:t>
      </w:r>
      <w:r>
        <w:rPr>
          <w:szCs w:val="21"/>
        </w:rPr>
        <w:t>不得相互串通投标或者与</w:t>
      </w:r>
      <w:r>
        <w:rPr>
          <w:rFonts w:hint="eastAsia"/>
          <w:szCs w:val="21"/>
        </w:rPr>
        <w:t>招标人</w:t>
      </w:r>
      <w:r>
        <w:rPr>
          <w:szCs w:val="21"/>
        </w:rPr>
        <w:t>串通投标，不得向</w:t>
      </w:r>
      <w:r>
        <w:rPr>
          <w:rFonts w:hint="eastAsia"/>
          <w:szCs w:val="21"/>
        </w:rPr>
        <w:t>招标人</w:t>
      </w:r>
      <w:r>
        <w:rPr>
          <w:szCs w:val="21"/>
        </w:rPr>
        <w:t>或者</w:t>
      </w:r>
      <w:r>
        <w:rPr>
          <w:rFonts w:hint="eastAsia"/>
          <w:szCs w:val="21"/>
        </w:rPr>
        <w:t>评审</w:t>
      </w:r>
      <w:r>
        <w:rPr>
          <w:szCs w:val="21"/>
        </w:rPr>
        <w:t>委员会成员行贿谋取中标，不得以他人名义投标或者以其他方式弄虚作假骗取中标；</w:t>
      </w:r>
      <w:r>
        <w:rPr>
          <w:rFonts w:hint="eastAsia"/>
          <w:szCs w:val="21"/>
        </w:rPr>
        <w:t>投标人</w:t>
      </w:r>
      <w:r>
        <w:rPr>
          <w:szCs w:val="21"/>
        </w:rPr>
        <w:t>不得以任何方式干扰、影响</w:t>
      </w:r>
      <w:r>
        <w:rPr>
          <w:rFonts w:hint="eastAsia"/>
          <w:szCs w:val="21"/>
        </w:rPr>
        <w:t>评审</w:t>
      </w:r>
      <w:r>
        <w:rPr>
          <w:szCs w:val="21"/>
        </w:rPr>
        <w:t>工作。</w:t>
      </w:r>
    </w:p>
    <w:p w14:paraId="6496112D">
      <w:pPr>
        <w:pStyle w:val="5"/>
        <w:spacing w:before="60" w:after="60" w:line="360" w:lineRule="auto"/>
        <w:ind w:firstLine="118"/>
        <w:rPr>
          <w:szCs w:val="24"/>
        </w:rPr>
      </w:pPr>
      <w:bookmarkStart w:id="401" w:name="_Toc16374"/>
      <w:bookmarkStart w:id="402" w:name="_Toc387526223"/>
      <w:bookmarkStart w:id="403" w:name="_Toc57041938"/>
      <w:bookmarkStart w:id="404" w:name="_Toc387526327"/>
      <w:bookmarkStart w:id="405" w:name="_Toc387526419"/>
      <w:r>
        <w:rPr>
          <w:rFonts w:hint="eastAsia"/>
          <w:szCs w:val="24"/>
        </w:rPr>
        <w:t>9</w:t>
      </w:r>
      <w:r>
        <w:rPr>
          <w:szCs w:val="24"/>
        </w:rPr>
        <w:t>.3 对</w:t>
      </w:r>
      <w:r>
        <w:rPr>
          <w:rFonts w:hint="eastAsia"/>
          <w:szCs w:val="24"/>
        </w:rPr>
        <w:t>评审</w:t>
      </w:r>
      <w:r>
        <w:rPr>
          <w:szCs w:val="24"/>
        </w:rPr>
        <w:t>委员会成员的纪律要求</w:t>
      </w:r>
      <w:bookmarkEnd w:id="396"/>
      <w:bookmarkEnd w:id="397"/>
      <w:bookmarkEnd w:id="398"/>
      <w:bookmarkEnd w:id="399"/>
      <w:bookmarkEnd w:id="400"/>
      <w:bookmarkEnd w:id="401"/>
      <w:bookmarkEnd w:id="402"/>
      <w:bookmarkEnd w:id="403"/>
      <w:bookmarkEnd w:id="404"/>
      <w:bookmarkEnd w:id="405"/>
    </w:p>
    <w:p w14:paraId="6C1DCE07">
      <w:pPr>
        <w:spacing w:line="360" w:lineRule="auto"/>
        <w:ind w:firstLine="420"/>
        <w:rPr>
          <w:szCs w:val="21"/>
        </w:rPr>
      </w:pPr>
      <w:bookmarkStart w:id="406" w:name="_Toc247085736"/>
      <w:bookmarkStart w:id="407" w:name="_Toc246996965"/>
      <w:bookmarkStart w:id="408" w:name="_Toc179632596"/>
      <w:bookmarkStart w:id="409" w:name="_Toc246996222"/>
      <w:bookmarkStart w:id="410" w:name="_Toc366679707"/>
      <w:bookmarkStart w:id="411" w:name="_Toc152042354"/>
      <w:bookmarkStart w:id="412" w:name="_Toc152045578"/>
      <w:bookmarkStart w:id="413" w:name="_Toc144974546"/>
      <w:r>
        <w:rPr>
          <w:rFonts w:hint="eastAsia"/>
          <w:szCs w:val="21"/>
        </w:rPr>
        <w:t>评审</w:t>
      </w:r>
      <w:r>
        <w:rPr>
          <w:szCs w:val="21"/>
        </w:rPr>
        <w:t>委员会成员不得收受他人的财物或者其他好处，不得向他人透漏对</w:t>
      </w:r>
      <w:r>
        <w:rPr>
          <w:rFonts w:hint="eastAsia"/>
          <w:szCs w:val="21"/>
        </w:rPr>
        <w:t>投标文件</w:t>
      </w:r>
      <w:r>
        <w:rPr>
          <w:szCs w:val="21"/>
        </w:rPr>
        <w:t>的评审和比较、中标候选人的推荐情况以及</w:t>
      </w:r>
      <w:r>
        <w:rPr>
          <w:rFonts w:hint="eastAsia"/>
          <w:szCs w:val="21"/>
        </w:rPr>
        <w:t>评审</w:t>
      </w:r>
      <w:r>
        <w:rPr>
          <w:szCs w:val="21"/>
        </w:rPr>
        <w:t>有关的其他情况。在</w:t>
      </w:r>
      <w:r>
        <w:rPr>
          <w:rFonts w:hint="eastAsia"/>
          <w:szCs w:val="21"/>
        </w:rPr>
        <w:t>评审</w:t>
      </w:r>
      <w:r>
        <w:rPr>
          <w:szCs w:val="21"/>
        </w:rPr>
        <w:t>活动中，</w:t>
      </w:r>
      <w:r>
        <w:rPr>
          <w:rFonts w:hint="eastAsia"/>
          <w:szCs w:val="21"/>
        </w:rPr>
        <w:t>评审</w:t>
      </w:r>
      <w:r>
        <w:rPr>
          <w:szCs w:val="21"/>
        </w:rPr>
        <w:t>委员会成员应当客观、公正地履行职责，遵守职业道德，不得擅离职守，影响</w:t>
      </w:r>
      <w:r>
        <w:rPr>
          <w:rFonts w:hint="eastAsia"/>
          <w:szCs w:val="21"/>
        </w:rPr>
        <w:t>评审</w:t>
      </w:r>
      <w:r>
        <w:rPr>
          <w:szCs w:val="21"/>
        </w:rPr>
        <w:t>程序正常进行，不得使用“</w:t>
      </w:r>
      <w:r>
        <w:rPr>
          <w:rFonts w:hint="eastAsia"/>
          <w:szCs w:val="21"/>
        </w:rPr>
        <w:t>评审</w:t>
      </w:r>
      <w:r>
        <w:rPr>
          <w:szCs w:val="21"/>
        </w:rPr>
        <w:t>办法”没有规定的评审因素和标准进行</w:t>
      </w:r>
      <w:r>
        <w:rPr>
          <w:rFonts w:hint="eastAsia"/>
          <w:szCs w:val="21"/>
        </w:rPr>
        <w:t>评审</w:t>
      </w:r>
      <w:r>
        <w:rPr>
          <w:szCs w:val="21"/>
        </w:rPr>
        <w:t>。</w:t>
      </w:r>
    </w:p>
    <w:p w14:paraId="4E75C4D9">
      <w:pPr>
        <w:pStyle w:val="5"/>
        <w:spacing w:before="60" w:after="60" w:line="360" w:lineRule="auto"/>
        <w:ind w:firstLine="118"/>
        <w:rPr>
          <w:szCs w:val="24"/>
        </w:rPr>
      </w:pPr>
      <w:bookmarkStart w:id="414" w:name="_Toc1042"/>
      <w:bookmarkStart w:id="415" w:name="_Toc387526420"/>
      <w:bookmarkStart w:id="416" w:name="_Toc387526328"/>
      <w:bookmarkStart w:id="417" w:name="_Toc57041939"/>
      <w:bookmarkStart w:id="418" w:name="_Toc387526224"/>
      <w:r>
        <w:rPr>
          <w:rFonts w:hint="eastAsia"/>
          <w:szCs w:val="24"/>
        </w:rPr>
        <w:t>9</w:t>
      </w:r>
      <w:r>
        <w:rPr>
          <w:szCs w:val="24"/>
        </w:rPr>
        <w:t>.4 对与</w:t>
      </w:r>
      <w:r>
        <w:rPr>
          <w:rFonts w:hint="eastAsia"/>
          <w:szCs w:val="24"/>
        </w:rPr>
        <w:t>评审</w:t>
      </w:r>
      <w:r>
        <w:rPr>
          <w:szCs w:val="24"/>
        </w:rPr>
        <w:t>活动有关的工作人员的纪律要求</w:t>
      </w:r>
      <w:bookmarkEnd w:id="406"/>
      <w:bookmarkEnd w:id="407"/>
      <w:bookmarkEnd w:id="408"/>
      <w:bookmarkEnd w:id="409"/>
      <w:bookmarkEnd w:id="410"/>
      <w:bookmarkEnd w:id="411"/>
      <w:bookmarkEnd w:id="412"/>
      <w:bookmarkEnd w:id="414"/>
      <w:bookmarkEnd w:id="415"/>
      <w:bookmarkEnd w:id="416"/>
      <w:bookmarkEnd w:id="417"/>
      <w:bookmarkEnd w:id="418"/>
    </w:p>
    <w:p w14:paraId="170D9EAA">
      <w:pPr>
        <w:spacing w:line="360" w:lineRule="auto"/>
        <w:ind w:firstLine="420"/>
        <w:rPr>
          <w:szCs w:val="21"/>
        </w:rPr>
      </w:pPr>
      <w:bookmarkStart w:id="419" w:name="_Toc152042355"/>
      <w:bookmarkStart w:id="420" w:name="_Toc152045579"/>
      <w:bookmarkStart w:id="421" w:name="_Toc179632597"/>
      <w:bookmarkStart w:id="422" w:name="_Toc246996966"/>
      <w:bookmarkStart w:id="423" w:name="_Toc246996223"/>
      <w:bookmarkStart w:id="424" w:name="_Toc152042356"/>
      <w:bookmarkStart w:id="425" w:name="_Toc247085737"/>
      <w:bookmarkStart w:id="426" w:name="_Toc366679708"/>
      <w:r>
        <w:rPr>
          <w:szCs w:val="21"/>
        </w:rPr>
        <w:t>与</w:t>
      </w:r>
      <w:r>
        <w:rPr>
          <w:rFonts w:hint="eastAsia"/>
          <w:szCs w:val="21"/>
        </w:rPr>
        <w:t>评审</w:t>
      </w:r>
      <w:r>
        <w:rPr>
          <w:szCs w:val="21"/>
        </w:rPr>
        <w:t>活动有关的工作人员不得收受他人的财物或者其他好处，不得向他人透漏对</w:t>
      </w:r>
      <w:r>
        <w:rPr>
          <w:rFonts w:hint="eastAsia"/>
          <w:szCs w:val="21"/>
        </w:rPr>
        <w:t>投标文件</w:t>
      </w:r>
      <w:r>
        <w:rPr>
          <w:szCs w:val="21"/>
        </w:rPr>
        <w:t>的评审和比较、中标候选人的推荐情况以及</w:t>
      </w:r>
      <w:r>
        <w:rPr>
          <w:rFonts w:hint="eastAsia"/>
          <w:szCs w:val="21"/>
        </w:rPr>
        <w:t>评审</w:t>
      </w:r>
      <w:r>
        <w:rPr>
          <w:szCs w:val="21"/>
        </w:rPr>
        <w:t>有关的其他情况。在</w:t>
      </w:r>
      <w:r>
        <w:rPr>
          <w:rFonts w:hint="eastAsia"/>
          <w:szCs w:val="21"/>
        </w:rPr>
        <w:t>评审</w:t>
      </w:r>
      <w:r>
        <w:rPr>
          <w:szCs w:val="21"/>
        </w:rPr>
        <w:t>活动中，与</w:t>
      </w:r>
      <w:r>
        <w:rPr>
          <w:rFonts w:hint="eastAsia"/>
          <w:szCs w:val="21"/>
        </w:rPr>
        <w:t>评审</w:t>
      </w:r>
      <w:r>
        <w:rPr>
          <w:szCs w:val="21"/>
        </w:rPr>
        <w:t>活动有关的工作人员不得擅离职守，影响</w:t>
      </w:r>
      <w:r>
        <w:rPr>
          <w:rFonts w:hint="eastAsia"/>
          <w:szCs w:val="21"/>
        </w:rPr>
        <w:t>评审</w:t>
      </w:r>
      <w:r>
        <w:rPr>
          <w:szCs w:val="21"/>
        </w:rPr>
        <w:t>程序正常进行。</w:t>
      </w:r>
      <w:bookmarkEnd w:id="419"/>
    </w:p>
    <w:p w14:paraId="008C8D78">
      <w:pPr>
        <w:pStyle w:val="5"/>
        <w:ind w:firstLine="118"/>
        <w:rPr>
          <w:szCs w:val="24"/>
        </w:rPr>
      </w:pPr>
      <w:bookmarkStart w:id="427" w:name="_Toc387526225"/>
      <w:bookmarkStart w:id="428" w:name="_Toc27873"/>
      <w:bookmarkStart w:id="429" w:name="_Toc387526421"/>
      <w:bookmarkStart w:id="430" w:name="_Toc387526329"/>
      <w:bookmarkStart w:id="431" w:name="_Toc57041940"/>
      <w:r>
        <w:rPr>
          <w:rFonts w:hint="eastAsia"/>
          <w:szCs w:val="24"/>
        </w:rPr>
        <w:t>9</w:t>
      </w:r>
      <w:r>
        <w:rPr>
          <w:szCs w:val="24"/>
        </w:rPr>
        <w:t xml:space="preserve">.5 </w:t>
      </w:r>
      <w:bookmarkEnd w:id="413"/>
      <w:bookmarkEnd w:id="420"/>
      <w:bookmarkEnd w:id="421"/>
      <w:bookmarkEnd w:id="422"/>
      <w:bookmarkEnd w:id="423"/>
      <w:bookmarkEnd w:id="424"/>
      <w:bookmarkEnd w:id="425"/>
      <w:bookmarkEnd w:id="426"/>
      <w:bookmarkEnd w:id="427"/>
      <w:bookmarkEnd w:id="428"/>
      <w:bookmarkEnd w:id="429"/>
      <w:bookmarkEnd w:id="430"/>
      <w:r>
        <w:rPr>
          <w:rFonts w:hint="eastAsia"/>
        </w:rPr>
        <w:t>异议与投诉</w:t>
      </w:r>
      <w:bookmarkEnd w:id="431"/>
    </w:p>
    <w:p w14:paraId="2B1BE06E">
      <w:pPr>
        <w:spacing w:line="400" w:lineRule="exact"/>
        <w:ind w:firstLine="420" w:firstLineChars="200"/>
        <w:rPr>
          <w:rFonts w:ascii="宋体" w:hAnsi="宋体" w:cs="宋体"/>
        </w:rPr>
      </w:pPr>
      <w:bookmarkStart w:id="432" w:name="_Toc9600"/>
      <w:bookmarkStart w:id="433" w:name="_Toc387526330"/>
      <w:bookmarkStart w:id="434" w:name="_Toc387526226"/>
      <w:bookmarkStart w:id="435" w:name="_Toc387526422"/>
      <w:r>
        <w:rPr>
          <w:rFonts w:hint="eastAsia" w:ascii="宋体" w:hAnsi="宋体" w:cs="宋体"/>
        </w:rPr>
        <w:t>9.5.1异议</w:t>
      </w:r>
    </w:p>
    <w:p w14:paraId="677D9967">
      <w:pPr>
        <w:spacing w:line="400" w:lineRule="exact"/>
        <w:ind w:firstLine="420" w:firstLineChars="200"/>
        <w:rPr>
          <w:rFonts w:ascii="宋体" w:hAnsi="宋体" w:cs="宋体"/>
        </w:rPr>
      </w:pPr>
      <w:r>
        <w:rPr>
          <w:rFonts w:hint="eastAsia" w:ascii="宋体" w:hAnsi="宋体" w:cs="宋体"/>
        </w:rPr>
        <w:t>投标人或者其他利害关系人对招标文件有异议的，应在投标人须知前附表规定的时间前提出。招标人应当自收到异议之日起3日内作出答复；作出答复前，应当暂停招标投标活动。</w:t>
      </w:r>
    </w:p>
    <w:p w14:paraId="5872E7A9">
      <w:pPr>
        <w:spacing w:line="400" w:lineRule="exact"/>
        <w:ind w:firstLine="420" w:firstLineChars="200"/>
        <w:rPr>
          <w:rFonts w:ascii="宋体" w:hAnsi="宋体" w:cs="宋体"/>
        </w:rPr>
      </w:pPr>
      <w:r>
        <w:rPr>
          <w:rFonts w:hint="eastAsia" w:ascii="宋体" w:hAnsi="宋体" w:cs="宋体"/>
        </w:rPr>
        <w:t>投标人对开标有异议的，应当在开标现场提出，招标人应当当场作出答复，并制作记录。</w:t>
      </w:r>
    </w:p>
    <w:p w14:paraId="4B2E1B75">
      <w:pPr>
        <w:spacing w:line="400" w:lineRule="exact"/>
        <w:ind w:firstLine="420" w:firstLineChars="200"/>
        <w:rPr>
          <w:rFonts w:ascii="宋体" w:hAnsi="宋体" w:cs="宋体"/>
        </w:rPr>
      </w:pPr>
      <w:r>
        <w:rPr>
          <w:rFonts w:hint="eastAsia" w:ascii="宋体" w:hAnsi="宋体" w:cs="宋体"/>
        </w:rPr>
        <w:t>投标人或者其他利害关系人对依法必须进行招标的项目的评标结果有异议的，应当在</w:t>
      </w:r>
      <w:r>
        <w:rPr>
          <w:rFonts w:hint="eastAsia" w:ascii="宋体" w:hAnsi="宋体"/>
          <w:szCs w:val="21"/>
        </w:rPr>
        <w:t>评标结果公示</w:t>
      </w:r>
      <w:r>
        <w:rPr>
          <w:rFonts w:hint="eastAsia" w:ascii="宋体" w:hAnsi="宋体" w:cs="宋体"/>
        </w:rPr>
        <w:t>期间提出。</w:t>
      </w:r>
    </w:p>
    <w:p w14:paraId="42E021E8">
      <w:pPr>
        <w:spacing w:line="400" w:lineRule="exact"/>
        <w:ind w:firstLine="420" w:firstLineChars="200"/>
        <w:rPr>
          <w:rFonts w:ascii="宋体" w:hAnsi="宋体" w:cs="宋体"/>
        </w:rPr>
      </w:pPr>
      <w:r>
        <w:rPr>
          <w:rFonts w:hint="eastAsia" w:ascii="宋体" w:hAnsi="宋体" w:cs="宋体"/>
        </w:rPr>
        <w:t>9.5.2投诉</w:t>
      </w:r>
    </w:p>
    <w:p w14:paraId="2B81A949">
      <w:pPr>
        <w:spacing w:line="400" w:lineRule="exact"/>
        <w:ind w:firstLine="420" w:firstLineChars="200"/>
        <w:rPr>
          <w:rFonts w:ascii="宋体" w:hAnsi="宋体" w:cs="宋体"/>
        </w:rPr>
      </w:pPr>
      <w:r>
        <w:rPr>
          <w:rFonts w:hint="eastAsia" w:ascii="宋体" w:hAnsi="宋体" w:cs="宋体"/>
        </w:rPr>
        <w:t>投标人和其他利害关系人认为本次招标活动违反法律、法规和规章规定的，可以在知道或者应当知道之日起十日内向“投标人须知前附表”明确的招投标监督管理部门提出书面投诉。投诉应当有明确的请求和必要的证明材料。就第8.5.1项</w:t>
      </w:r>
      <w:r>
        <w:rPr>
          <w:rFonts w:hint="eastAsia" w:ascii="宋体" w:hAnsi="宋体" w:cs="宋体"/>
          <w:szCs w:val="21"/>
        </w:rPr>
        <w:t>规定事项提出投诉的，</w:t>
      </w:r>
      <w:r>
        <w:rPr>
          <w:rFonts w:hint="eastAsia" w:ascii="宋体" w:hAnsi="宋体" w:cs="宋体"/>
        </w:rPr>
        <w:t>应先向招标人提出异议。</w:t>
      </w:r>
    </w:p>
    <w:p w14:paraId="28480D7E">
      <w:pPr>
        <w:spacing w:line="400" w:lineRule="exact"/>
        <w:ind w:firstLine="422" w:firstLineChars="200"/>
        <w:rPr>
          <w:rFonts w:ascii="宋体" w:hAnsi="宋体" w:cs="宋体"/>
          <w:b/>
          <w:szCs w:val="21"/>
          <w:u w:val="single"/>
        </w:rPr>
      </w:pPr>
      <w:r>
        <w:rPr>
          <w:rFonts w:hint="eastAsia" w:ascii="宋体" w:hAnsi="宋体" w:cs="宋体"/>
          <w:b/>
        </w:rPr>
        <w:t>9.5.3</w:t>
      </w:r>
      <w:r>
        <w:rPr>
          <w:rFonts w:hint="eastAsia" w:ascii="宋体" w:hAnsi="宋体" w:cs="宋体"/>
          <w:b/>
          <w:szCs w:val="21"/>
        </w:rPr>
        <w:t>异议时未提出的事项，投诉时不予受理；异议、投诉的提出及后续处理须由投标人投标时确定的授权委托代表全程参与，转委托无效。</w:t>
      </w:r>
    </w:p>
    <w:p w14:paraId="6F3A688C">
      <w:pPr>
        <w:pStyle w:val="112"/>
        <w:outlineLvl w:val="0"/>
        <w:rPr>
          <w:color w:val="auto"/>
        </w:rPr>
      </w:pPr>
      <w:bookmarkStart w:id="436" w:name="_Toc57041941"/>
      <w:r>
        <w:rPr>
          <w:rFonts w:hint="eastAsia"/>
          <w:color w:val="auto"/>
        </w:rPr>
        <w:t>10. 招标人需要补充的其他内容</w:t>
      </w:r>
      <w:bookmarkEnd w:id="432"/>
      <w:bookmarkEnd w:id="433"/>
      <w:bookmarkEnd w:id="434"/>
      <w:bookmarkEnd w:id="435"/>
      <w:bookmarkEnd w:id="436"/>
    </w:p>
    <w:p w14:paraId="2EC9B188">
      <w:pPr>
        <w:spacing w:line="360" w:lineRule="auto"/>
        <w:ind w:firstLine="420"/>
        <w:rPr>
          <w:szCs w:val="21"/>
        </w:rPr>
      </w:pPr>
      <w:r>
        <w:rPr>
          <w:rFonts w:hint="eastAsia"/>
          <w:szCs w:val="21"/>
        </w:rPr>
        <w:t>需要补充的其他内容：见投标人须知前附表。</w:t>
      </w:r>
      <w:bookmarkStart w:id="437" w:name="_Toc57041942"/>
    </w:p>
    <w:p w14:paraId="0AAC6CD3">
      <w:pPr>
        <w:widowControl/>
        <w:jc w:val="left"/>
        <w:rPr>
          <w:szCs w:val="21"/>
        </w:rPr>
      </w:pPr>
      <w:r>
        <w:rPr>
          <w:szCs w:val="21"/>
        </w:rPr>
        <w:br w:type="page"/>
      </w:r>
    </w:p>
    <w:p w14:paraId="13D799E5">
      <w:pPr>
        <w:spacing w:line="360" w:lineRule="auto"/>
        <w:ind w:firstLine="420"/>
        <w:rPr>
          <w:szCs w:val="21"/>
        </w:rPr>
      </w:pPr>
    </w:p>
    <w:p w14:paraId="5137A55B">
      <w:pPr>
        <w:spacing w:line="360" w:lineRule="auto"/>
        <w:ind w:firstLine="420"/>
        <w:jc w:val="center"/>
        <w:rPr>
          <w:b/>
          <w:bCs/>
          <w:sz w:val="40"/>
          <w:szCs w:val="48"/>
        </w:rPr>
      </w:pPr>
      <w:r>
        <w:rPr>
          <w:rFonts w:hint="eastAsia"/>
          <w:b/>
          <w:bCs/>
          <w:sz w:val="40"/>
          <w:szCs w:val="48"/>
        </w:rPr>
        <w:t>第三章 评审办法（合理低价法）</w:t>
      </w:r>
      <w:bookmarkEnd w:id="437"/>
    </w:p>
    <w:p w14:paraId="5ECF729E">
      <w:pPr>
        <w:pStyle w:val="4"/>
        <w:rPr>
          <w:rFonts w:ascii="宋体" w:hAnsi="宋体" w:eastAsia="宋体"/>
          <w:b w:val="0"/>
          <w:sz w:val="24"/>
        </w:rPr>
      </w:pPr>
      <w:bookmarkStart w:id="438" w:name="_Toc11060"/>
      <w:bookmarkStart w:id="439" w:name="_Toc57041943"/>
      <w:r>
        <w:rPr>
          <w:rFonts w:hint="eastAsia" w:ascii="宋体" w:hAnsi="宋体" w:eastAsia="宋体"/>
        </w:rPr>
        <w:t>评审办法前附表</w:t>
      </w:r>
      <w:bookmarkEnd w:id="438"/>
      <w:bookmarkEnd w:id="439"/>
    </w:p>
    <w:tbl>
      <w:tblPr>
        <w:tblStyle w:val="43"/>
        <w:tblW w:w="978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37"/>
        <w:gridCol w:w="1133"/>
        <w:gridCol w:w="2445"/>
        <w:gridCol w:w="4918"/>
        <w:gridCol w:w="9"/>
      </w:tblGrid>
      <w:tr w14:paraId="5E399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463" w:hRule="atLeast"/>
        </w:trPr>
        <w:tc>
          <w:tcPr>
            <w:tcW w:w="2409" w:type="dxa"/>
            <w:gridSpan w:val="3"/>
            <w:tcBorders>
              <w:top w:val="single" w:color="auto" w:sz="4" w:space="0"/>
              <w:left w:val="single" w:color="auto" w:sz="4" w:space="0"/>
              <w:bottom w:val="single" w:color="auto" w:sz="4" w:space="0"/>
              <w:right w:val="single" w:color="auto" w:sz="4" w:space="0"/>
            </w:tcBorders>
            <w:vAlign w:val="center"/>
          </w:tcPr>
          <w:p w14:paraId="576CFA14">
            <w:pPr>
              <w:spacing w:line="276" w:lineRule="auto"/>
              <w:jc w:val="center"/>
              <w:rPr>
                <w:b/>
              </w:rPr>
            </w:pPr>
            <w:r>
              <w:rPr>
                <w:rFonts w:hint="eastAsia" w:ascii="宋体" w:hAnsi="宋体"/>
                <w:b/>
              </w:rPr>
              <w:t>条款号</w:t>
            </w:r>
          </w:p>
        </w:tc>
        <w:tc>
          <w:tcPr>
            <w:tcW w:w="2445" w:type="dxa"/>
            <w:tcBorders>
              <w:top w:val="single" w:color="auto" w:sz="4" w:space="0"/>
              <w:left w:val="single" w:color="auto" w:sz="4" w:space="0"/>
              <w:bottom w:val="single" w:color="auto" w:sz="4" w:space="0"/>
              <w:right w:val="single" w:color="auto" w:sz="4" w:space="0"/>
            </w:tcBorders>
            <w:vAlign w:val="center"/>
          </w:tcPr>
          <w:p w14:paraId="0AC2B393">
            <w:pPr>
              <w:spacing w:line="276" w:lineRule="auto"/>
              <w:jc w:val="center"/>
              <w:rPr>
                <w:b/>
              </w:rPr>
            </w:pPr>
            <w:r>
              <w:rPr>
                <w:rFonts w:hint="eastAsia" w:ascii="宋体" w:hAnsi="宋体"/>
                <w:b/>
              </w:rPr>
              <w:t>评审因素</w:t>
            </w:r>
          </w:p>
        </w:tc>
        <w:tc>
          <w:tcPr>
            <w:tcW w:w="4918" w:type="dxa"/>
            <w:tcBorders>
              <w:top w:val="single" w:color="auto" w:sz="4" w:space="0"/>
              <w:left w:val="single" w:color="auto" w:sz="4" w:space="0"/>
              <w:bottom w:val="single" w:color="auto" w:sz="4" w:space="0"/>
              <w:right w:val="single" w:color="auto" w:sz="4" w:space="0"/>
            </w:tcBorders>
            <w:vAlign w:val="center"/>
          </w:tcPr>
          <w:p w14:paraId="6A6FCDDD">
            <w:pPr>
              <w:spacing w:line="276" w:lineRule="auto"/>
              <w:jc w:val="center"/>
              <w:rPr>
                <w:b/>
              </w:rPr>
            </w:pPr>
            <w:r>
              <w:rPr>
                <w:rFonts w:hint="eastAsia" w:ascii="宋体" w:hAnsi="宋体"/>
                <w:b/>
              </w:rPr>
              <w:t>评审标准</w:t>
            </w:r>
          </w:p>
        </w:tc>
      </w:tr>
      <w:tr w14:paraId="5120D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300" w:hRule="atLeast"/>
        </w:trPr>
        <w:tc>
          <w:tcPr>
            <w:tcW w:w="1239" w:type="dxa"/>
            <w:vMerge w:val="restart"/>
            <w:tcBorders>
              <w:top w:val="single" w:color="auto" w:sz="4" w:space="0"/>
              <w:left w:val="single" w:color="auto" w:sz="4" w:space="0"/>
              <w:bottom w:val="single" w:color="auto" w:sz="4" w:space="0"/>
              <w:right w:val="single" w:color="auto" w:sz="4" w:space="0"/>
            </w:tcBorders>
            <w:vAlign w:val="center"/>
          </w:tcPr>
          <w:p w14:paraId="6198120A">
            <w:pPr>
              <w:spacing w:line="276" w:lineRule="auto"/>
              <w:jc w:val="center"/>
            </w:pPr>
            <w:r>
              <w:t>2.1.1</w:t>
            </w:r>
          </w:p>
        </w:tc>
        <w:tc>
          <w:tcPr>
            <w:tcW w:w="1170" w:type="dxa"/>
            <w:gridSpan w:val="2"/>
            <w:vMerge w:val="restart"/>
            <w:tcBorders>
              <w:top w:val="single" w:color="auto" w:sz="4" w:space="0"/>
              <w:left w:val="single" w:color="auto" w:sz="4" w:space="0"/>
              <w:bottom w:val="single" w:color="auto" w:sz="4" w:space="0"/>
              <w:right w:val="single" w:color="auto" w:sz="4" w:space="0"/>
            </w:tcBorders>
            <w:vAlign w:val="center"/>
          </w:tcPr>
          <w:p w14:paraId="21F8ED71">
            <w:pPr>
              <w:spacing w:line="276" w:lineRule="auto"/>
              <w:jc w:val="center"/>
            </w:pPr>
            <w:r>
              <w:rPr>
                <w:rFonts w:hint="eastAsia" w:ascii="宋体" w:hAnsi="宋体"/>
              </w:rPr>
              <w:t>形式评审标准</w:t>
            </w:r>
          </w:p>
        </w:tc>
        <w:tc>
          <w:tcPr>
            <w:tcW w:w="2445" w:type="dxa"/>
            <w:tcBorders>
              <w:top w:val="single" w:color="auto" w:sz="4" w:space="0"/>
              <w:left w:val="single" w:color="auto" w:sz="4" w:space="0"/>
              <w:bottom w:val="single" w:color="auto" w:sz="4" w:space="0"/>
              <w:right w:val="single" w:color="auto" w:sz="4" w:space="0"/>
            </w:tcBorders>
            <w:vAlign w:val="center"/>
          </w:tcPr>
          <w:p w14:paraId="65B9B96D">
            <w:pPr>
              <w:spacing w:line="276" w:lineRule="auto"/>
            </w:pPr>
            <w:r>
              <w:rPr>
                <w:rFonts w:hint="eastAsia" w:ascii="宋体" w:hAnsi="宋体"/>
              </w:rPr>
              <w:t>投标人名称</w:t>
            </w:r>
          </w:p>
        </w:tc>
        <w:tc>
          <w:tcPr>
            <w:tcW w:w="4918" w:type="dxa"/>
            <w:tcBorders>
              <w:top w:val="single" w:color="auto" w:sz="4" w:space="0"/>
              <w:left w:val="single" w:color="auto" w:sz="4" w:space="0"/>
              <w:bottom w:val="single" w:color="auto" w:sz="4" w:space="0"/>
              <w:right w:val="single" w:color="auto" w:sz="4" w:space="0"/>
            </w:tcBorders>
            <w:vAlign w:val="center"/>
          </w:tcPr>
          <w:p w14:paraId="210B7F57">
            <w:pPr>
              <w:spacing w:line="276" w:lineRule="auto"/>
            </w:pPr>
            <w:r>
              <w:rPr>
                <w:rFonts w:hint="eastAsia" w:ascii="华文细黑" w:hAnsi="华文细黑"/>
              </w:rPr>
              <w:t>投标人名称与营业执照一致；不一致的，提供有效证明材料</w:t>
            </w:r>
          </w:p>
        </w:tc>
      </w:tr>
      <w:tr w14:paraId="1E1AB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451" w:hRule="atLeast"/>
        </w:trPr>
        <w:tc>
          <w:tcPr>
            <w:tcW w:w="1239" w:type="dxa"/>
            <w:vMerge w:val="continue"/>
            <w:tcBorders>
              <w:top w:val="single" w:color="auto" w:sz="4" w:space="0"/>
              <w:left w:val="single" w:color="auto" w:sz="4" w:space="0"/>
              <w:bottom w:val="single" w:color="auto" w:sz="4" w:space="0"/>
              <w:right w:val="single" w:color="auto" w:sz="4" w:space="0"/>
            </w:tcBorders>
          </w:tcPr>
          <w:p w14:paraId="753B978E">
            <w:pPr>
              <w:spacing w:line="276" w:lineRule="auto"/>
            </w:pPr>
          </w:p>
        </w:tc>
        <w:tc>
          <w:tcPr>
            <w:tcW w:w="1170" w:type="dxa"/>
            <w:gridSpan w:val="2"/>
            <w:vMerge w:val="continue"/>
            <w:tcBorders>
              <w:top w:val="single" w:color="auto" w:sz="4" w:space="0"/>
              <w:left w:val="single" w:color="auto" w:sz="4" w:space="0"/>
              <w:bottom w:val="single" w:color="auto" w:sz="4" w:space="0"/>
              <w:right w:val="single" w:color="auto" w:sz="4" w:space="0"/>
            </w:tcBorders>
          </w:tcPr>
          <w:p w14:paraId="0A322A96">
            <w:pPr>
              <w:spacing w:line="276" w:lineRule="auto"/>
              <w:jc w:val="center"/>
            </w:pPr>
          </w:p>
        </w:tc>
        <w:tc>
          <w:tcPr>
            <w:tcW w:w="2445" w:type="dxa"/>
            <w:tcBorders>
              <w:top w:val="single" w:color="auto" w:sz="4" w:space="0"/>
              <w:left w:val="single" w:color="auto" w:sz="4" w:space="0"/>
              <w:bottom w:val="single" w:color="auto" w:sz="4" w:space="0"/>
              <w:right w:val="single" w:color="auto" w:sz="4" w:space="0"/>
            </w:tcBorders>
            <w:vAlign w:val="center"/>
          </w:tcPr>
          <w:p w14:paraId="419863AE">
            <w:pPr>
              <w:spacing w:line="276" w:lineRule="auto"/>
            </w:pPr>
            <w:r>
              <w:rPr>
                <w:rFonts w:hint="eastAsia" w:ascii="宋体" w:hAnsi="宋体"/>
              </w:rPr>
              <w:t>投标文件签字盖章</w:t>
            </w:r>
          </w:p>
        </w:tc>
        <w:tc>
          <w:tcPr>
            <w:tcW w:w="4918" w:type="dxa"/>
            <w:tcBorders>
              <w:top w:val="single" w:color="auto" w:sz="4" w:space="0"/>
              <w:left w:val="single" w:color="auto" w:sz="4" w:space="0"/>
              <w:bottom w:val="single" w:color="auto" w:sz="4" w:space="0"/>
              <w:right w:val="single" w:color="auto" w:sz="4" w:space="0"/>
            </w:tcBorders>
            <w:vAlign w:val="center"/>
          </w:tcPr>
          <w:p w14:paraId="0E34E3FA">
            <w:pPr>
              <w:spacing w:line="276" w:lineRule="auto"/>
            </w:pPr>
            <w:r>
              <w:rPr>
                <w:rFonts w:hint="eastAsia" w:ascii="华文细黑" w:hAnsi="华文细黑"/>
              </w:rPr>
              <w:t>加盖投标人公章和企业法定代表人（或企业法定代表人委托代理人）印章（或签字）。如投标函加盖企业法定代表人委托代理人印章（或签字）的，委托代理人有合法、有效的委托书（原件）</w:t>
            </w:r>
          </w:p>
        </w:tc>
      </w:tr>
      <w:tr w14:paraId="67697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437" w:hRule="atLeast"/>
        </w:trPr>
        <w:tc>
          <w:tcPr>
            <w:tcW w:w="1239" w:type="dxa"/>
            <w:vMerge w:val="continue"/>
            <w:tcBorders>
              <w:top w:val="single" w:color="auto" w:sz="4" w:space="0"/>
              <w:left w:val="single" w:color="auto" w:sz="4" w:space="0"/>
              <w:bottom w:val="single" w:color="auto" w:sz="4" w:space="0"/>
              <w:right w:val="single" w:color="auto" w:sz="4" w:space="0"/>
            </w:tcBorders>
          </w:tcPr>
          <w:p w14:paraId="0225CA32">
            <w:pPr>
              <w:spacing w:line="276" w:lineRule="auto"/>
            </w:pPr>
          </w:p>
        </w:tc>
        <w:tc>
          <w:tcPr>
            <w:tcW w:w="1170" w:type="dxa"/>
            <w:gridSpan w:val="2"/>
            <w:vMerge w:val="continue"/>
            <w:tcBorders>
              <w:top w:val="single" w:color="auto" w:sz="4" w:space="0"/>
              <w:left w:val="single" w:color="auto" w:sz="4" w:space="0"/>
              <w:bottom w:val="single" w:color="auto" w:sz="4" w:space="0"/>
              <w:right w:val="single" w:color="auto" w:sz="4" w:space="0"/>
            </w:tcBorders>
          </w:tcPr>
          <w:p w14:paraId="7ECA87A6">
            <w:pPr>
              <w:spacing w:line="276" w:lineRule="auto"/>
              <w:jc w:val="center"/>
            </w:pPr>
          </w:p>
        </w:tc>
        <w:tc>
          <w:tcPr>
            <w:tcW w:w="2445" w:type="dxa"/>
            <w:tcBorders>
              <w:top w:val="single" w:color="auto" w:sz="4" w:space="0"/>
              <w:left w:val="single" w:color="auto" w:sz="4" w:space="0"/>
              <w:bottom w:val="single" w:color="auto" w:sz="4" w:space="0"/>
              <w:right w:val="single" w:color="auto" w:sz="4" w:space="0"/>
            </w:tcBorders>
            <w:vAlign w:val="center"/>
          </w:tcPr>
          <w:p w14:paraId="3AC2E0F2">
            <w:pPr>
              <w:spacing w:line="276" w:lineRule="auto"/>
              <w:textAlignment w:val="center"/>
              <w:rPr>
                <w:rFonts w:eastAsia="华文细黑"/>
              </w:rPr>
            </w:pPr>
            <w:r>
              <w:rPr>
                <w:rFonts w:hint="eastAsia" w:ascii="华文细黑" w:hAnsi="华文细黑"/>
              </w:rPr>
              <w:t>投标文件的组成</w:t>
            </w:r>
          </w:p>
        </w:tc>
        <w:tc>
          <w:tcPr>
            <w:tcW w:w="4918" w:type="dxa"/>
            <w:tcBorders>
              <w:top w:val="single" w:color="auto" w:sz="4" w:space="0"/>
              <w:left w:val="single" w:color="auto" w:sz="4" w:space="0"/>
              <w:bottom w:val="single" w:color="auto" w:sz="4" w:space="0"/>
              <w:right w:val="single" w:color="auto" w:sz="4" w:space="0"/>
            </w:tcBorders>
            <w:vAlign w:val="center"/>
          </w:tcPr>
          <w:p w14:paraId="613C7536">
            <w:pPr>
              <w:spacing w:line="276" w:lineRule="auto"/>
              <w:textAlignment w:val="center"/>
              <w:rPr>
                <w:rFonts w:eastAsia="华文细黑"/>
              </w:rPr>
            </w:pPr>
            <w:r>
              <w:rPr>
                <w:rFonts w:hint="eastAsia" w:ascii="华文细黑" w:hAnsi="华文细黑"/>
              </w:rPr>
              <w:t>符合第二章“投标人须知”第3.1.1项规定</w:t>
            </w:r>
          </w:p>
        </w:tc>
      </w:tr>
      <w:tr w14:paraId="22EF8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413" w:hRule="atLeast"/>
        </w:trPr>
        <w:tc>
          <w:tcPr>
            <w:tcW w:w="1239" w:type="dxa"/>
            <w:vMerge w:val="continue"/>
            <w:tcBorders>
              <w:top w:val="single" w:color="auto" w:sz="4" w:space="0"/>
              <w:left w:val="single" w:color="auto" w:sz="4" w:space="0"/>
              <w:bottom w:val="single" w:color="auto" w:sz="4" w:space="0"/>
              <w:right w:val="single" w:color="auto" w:sz="4" w:space="0"/>
            </w:tcBorders>
          </w:tcPr>
          <w:p w14:paraId="53CE9EDF">
            <w:pPr>
              <w:spacing w:line="276" w:lineRule="auto"/>
            </w:pPr>
          </w:p>
        </w:tc>
        <w:tc>
          <w:tcPr>
            <w:tcW w:w="1170" w:type="dxa"/>
            <w:gridSpan w:val="2"/>
            <w:vMerge w:val="continue"/>
            <w:tcBorders>
              <w:top w:val="single" w:color="auto" w:sz="4" w:space="0"/>
              <w:left w:val="single" w:color="auto" w:sz="4" w:space="0"/>
              <w:bottom w:val="single" w:color="auto" w:sz="4" w:space="0"/>
              <w:right w:val="single" w:color="auto" w:sz="4" w:space="0"/>
            </w:tcBorders>
          </w:tcPr>
          <w:p w14:paraId="38B1C141">
            <w:pPr>
              <w:spacing w:line="276" w:lineRule="auto"/>
              <w:jc w:val="center"/>
            </w:pPr>
          </w:p>
        </w:tc>
        <w:tc>
          <w:tcPr>
            <w:tcW w:w="2445" w:type="dxa"/>
            <w:tcBorders>
              <w:top w:val="single" w:color="auto" w:sz="4" w:space="0"/>
              <w:left w:val="single" w:color="auto" w:sz="4" w:space="0"/>
              <w:bottom w:val="single" w:color="auto" w:sz="4" w:space="0"/>
              <w:right w:val="single" w:color="auto" w:sz="4" w:space="0"/>
            </w:tcBorders>
            <w:vAlign w:val="center"/>
          </w:tcPr>
          <w:p w14:paraId="164FB834">
            <w:pPr>
              <w:spacing w:line="276" w:lineRule="auto"/>
              <w:textAlignment w:val="center"/>
              <w:rPr>
                <w:rFonts w:eastAsia="华文细黑"/>
              </w:rPr>
            </w:pPr>
            <w:r>
              <w:rPr>
                <w:rFonts w:hint="eastAsia" w:ascii="华文细黑" w:hAnsi="华文细黑"/>
              </w:rPr>
              <w:t>投标文件及报价唯一</w:t>
            </w:r>
          </w:p>
        </w:tc>
        <w:tc>
          <w:tcPr>
            <w:tcW w:w="4918" w:type="dxa"/>
            <w:tcBorders>
              <w:top w:val="single" w:color="auto" w:sz="4" w:space="0"/>
              <w:left w:val="single" w:color="auto" w:sz="4" w:space="0"/>
              <w:bottom w:val="single" w:color="auto" w:sz="4" w:space="0"/>
              <w:right w:val="single" w:color="auto" w:sz="4" w:space="0"/>
            </w:tcBorders>
            <w:vAlign w:val="center"/>
          </w:tcPr>
          <w:p w14:paraId="0B5A515A">
            <w:pPr>
              <w:spacing w:line="276" w:lineRule="auto"/>
              <w:textAlignment w:val="center"/>
              <w:rPr>
                <w:rFonts w:eastAsia="华文细黑"/>
              </w:rPr>
            </w:pPr>
            <w:r>
              <w:rPr>
                <w:rFonts w:hint="eastAsia" w:ascii="华文细黑" w:hAnsi="华文细黑"/>
              </w:rPr>
              <w:t>只能有一个投标文件及有效报价（招标文件要求提交备选投标的除外）</w:t>
            </w:r>
          </w:p>
        </w:tc>
      </w:tr>
      <w:tr w14:paraId="40E60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300" w:hRule="atLeast"/>
        </w:trPr>
        <w:tc>
          <w:tcPr>
            <w:tcW w:w="1239" w:type="dxa"/>
            <w:vMerge w:val="restart"/>
            <w:tcBorders>
              <w:top w:val="single" w:color="auto" w:sz="4" w:space="0"/>
              <w:left w:val="single" w:color="auto" w:sz="4" w:space="0"/>
              <w:bottom w:val="single" w:color="auto" w:sz="4" w:space="0"/>
              <w:right w:val="single" w:color="auto" w:sz="4" w:space="0"/>
            </w:tcBorders>
            <w:vAlign w:val="center"/>
          </w:tcPr>
          <w:p w14:paraId="5B3A0C01">
            <w:pPr>
              <w:spacing w:line="276" w:lineRule="auto"/>
              <w:jc w:val="center"/>
            </w:pPr>
            <w:r>
              <w:t>2.1.2</w:t>
            </w:r>
          </w:p>
        </w:tc>
        <w:tc>
          <w:tcPr>
            <w:tcW w:w="1170" w:type="dxa"/>
            <w:gridSpan w:val="2"/>
            <w:vMerge w:val="restart"/>
            <w:tcBorders>
              <w:top w:val="single" w:color="auto" w:sz="4" w:space="0"/>
              <w:left w:val="single" w:color="auto" w:sz="4" w:space="0"/>
              <w:bottom w:val="single" w:color="auto" w:sz="4" w:space="0"/>
              <w:right w:val="single" w:color="auto" w:sz="4" w:space="0"/>
            </w:tcBorders>
            <w:vAlign w:val="center"/>
          </w:tcPr>
          <w:p w14:paraId="5CEB5DD9">
            <w:pPr>
              <w:spacing w:line="276" w:lineRule="auto"/>
              <w:jc w:val="center"/>
            </w:pPr>
            <w:r>
              <w:rPr>
                <w:rFonts w:hint="eastAsia" w:ascii="宋体" w:hAnsi="宋体"/>
              </w:rPr>
              <w:t>资格评审标准</w:t>
            </w:r>
          </w:p>
          <w:p w14:paraId="4C7C45B8">
            <w:pPr>
              <w:spacing w:line="276" w:lineRule="auto"/>
              <w:jc w:val="center"/>
            </w:pPr>
          </w:p>
        </w:tc>
        <w:tc>
          <w:tcPr>
            <w:tcW w:w="2445" w:type="dxa"/>
            <w:tcBorders>
              <w:top w:val="single" w:color="auto" w:sz="4" w:space="0"/>
              <w:left w:val="single" w:color="auto" w:sz="4" w:space="0"/>
              <w:bottom w:val="single" w:color="auto" w:sz="4" w:space="0"/>
              <w:right w:val="single" w:color="auto" w:sz="4" w:space="0"/>
            </w:tcBorders>
            <w:vAlign w:val="center"/>
          </w:tcPr>
          <w:p w14:paraId="568B6F4C">
            <w:pPr>
              <w:spacing w:line="276" w:lineRule="auto"/>
            </w:pPr>
            <w:r>
              <w:rPr>
                <w:rFonts w:hint="eastAsia" w:ascii="宋体" w:hAnsi="宋体"/>
              </w:rPr>
              <w:t>营业执照</w:t>
            </w:r>
          </w:p>
        </w:tc>
        <w:tc>
          <w:tcPr>
            <w:tcW w:w="4918" w:type="dxa"/>
            <w:tcBorders>
              <w:top w:val="single" w:color="auto" w:sz="4" w:space="0"/>
              <w:left w:val="single" w:color="auto" w:sz="4" w:space="0"/>
              <w:bottom w:val="single" w:color="auto" w:sz="4" w:space="0"/>
              <w:right w:val="single" w:color="auto" w:sz="4" w:space="0"/>
            </w:tcBorders>
            <w:vAlign w:val="center"/>
          </w:tcPr>
          <w:p w14:paraId="3E398D14">
            <w:pPr>
              <w:spacing w:line="276" w:lineRule="auto"/>
            </w:pPr>
            <w:r>
              <w:rPr>
                <w:rFonts w:hint="eastAsia" w:ascii="宋体" w:hAnsi="宋体"/>
              </w:rPr>
              <w:t>具备有效的营业执照</w:t>
            </w:r>
          </w:p>
        </w:tc>
      </w:tr>
      <w:tr w14:paraId="11E8C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438" w:hRule="atLeast"/>
        </w:trPr>
        <w:tc>
          <w:tcPr>
            <w:tcW w:w="1239" w:type="dxa"/>
            <w:vMerge w:val="continue"/>
            <w:tcBorders>
              <w:top w:val="single" w:color="auto" w:sz="4" w:space="0"/>
              <w:left w:val="single" w:color="auto" w:sz="4" w:space="0"/>
              <w:bottom w:val="single" w:color="auto" w:sz="4" w:space="0"/>
              <w:right w:val="single" w:color="auto" w:sz="4" w:space="0"/>
            </w:tcBorders>
            <w:vAlign w:val="center"/>
          </w:tcPr>
          <w:p w14:paraId="53184116">
            <w:pPr>
              <w:spacing w:line="276" w:lineRule="auto"/>
              <w:jc w:val="center"/>
            </w:pPr>
          </w:p>
        </w:tc>
        <w:tc>
          <w:tcPr>
            <w:tcW w:w="1170" w:type="dxa"/>
            <w:gridSpan w:val="2"/>
            <w:vMerge w:val="continue"/>
            <w:tcBorders>
              <w:top w:val="single" w:color="auto" w:sz="4" w:space="0"/>
              <w:left w:val="single" w:color="auto" w:sz="4" w:space="0"/>
              <w:bottom w:val="single" w:color="auto" w:sz="4" w:space="0"/>
              <w:right w:val="single" w:color="auto" w:sz="4" w:space="0"/>
            </w:tcBorders>
            <w:vAlign w:val="center"/>
          </w:tcPr>
          <w:p w14:paraId="6485CCB8">
            <w:pPr>
              <w:spacing w:line="276" w:lineRule="auto"/>
              <w:jc w:val="center"/>
            </w:pPr>
          </w:p>
        </w:tc>
        <w:tc>
          <w:tcPr>
            <w:tcW w:w="2445" w:type="dxa"/>
            <w:tcBorders>
              <w:top w:val="single" w:color="auto" w:sz="4" w:space="0"/>
              <w:left w:val="single" w:color="auto" w:sz="4" w:space="0"/>
              <w:bottom w:val="single" w:color="auto" w:sz="4" w:space="0"/>
              <w:right w:val="single" w:color="auto" w:sz="4" w:space="0"/>
            </w:tcBorders>
            <w:vAlign w:val="center"/>
          </w:tcPr>
          <w:p w14:paraId="7C0BA5FA">
            <w:pPr>
              <w:spacing w:line="276" w:lineRule="auto"/>
            </w:pPr>
            <w:r>
              <w:rPr>
                <w:rFonts w:hint="eastAsia"/>
              </w:rPr>
              <w:t>项目负责人资格</w:t>
            </w:r>
          </w:p>
        </w:tc>
        <w:tc>
          <w:tcPr>
            <w:tcW w:w="4918" w:type="dxa"/>
            <w:tcBorders>
              <w:top w:val="single" w:color="auto" w:sz="4" w:space="0"/>
              <w:left w:val="single" w:color="auto" w:sz="4" w:space="0"/>
              <w:bottom w:val="single" w:color="auto" w:sz="4" w:space="0"/>
              <w:right w:val="single" w:color="auto" w:sz="4" w:space="0"/>
            </w:tcBorders>
            <w:vAlign w:val="center"/>
          </w:tcPr>
          <w:p w14:paraId="65EB60AD">
            <w:pPr>
              <w:spacing w:line="276" w:lineRule="auto"/>
            </w:pPr>
            <w:r>
              <w:rPr>
                <w:rFonts w:hint="eastAsia" w:ascii="华文细黑" w:hAnsi="华文细黑"/>
              </w:rPr>
              <w:t>详见招标公告</w:t>
            </w:r>
          </w:p>
        </w:tc>
      </w:tr>
      <w:tr w14:paraId="45702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250" w:hRule="atLeast"/>
        </w:trPr>
        <w:tc>
          <w:tcPr>
            <w:tcW w:w="1239" w:type="dxa"/>
            <w:vMerge w:val="continue"/>
            <w:tcBorders>
              <w:top w:val="single" w:color="auto" w:sz="4" w:space="0"/>
              <w:left w:val="single" w:color="auto" w:sz="4" w:space="0"/>
              <w:bottom w:val="single" w:color="auto" w:sz="4" w:space="0"/>
              <w:right w:val="single" w:color="auto" w:sz="4" w:space="0"/>
            </w:tcBorders>
            <w:vAlign w:val="center"/>
          </w:tcPr>
          <w:p w14:paraId="6FFAF15E">
            <w:pPr>
              <w:spacing w:line="276" w:lineRule="auto"/>
              <w:jc w:val="center"/>
            </w:pPr>
          </w:p>
        </w:tc>
        <w:tc>
          <w:tcPr>
            <w:tcW w:w="1170" w:type="dxa"/>
            <w:gridSpan w:val="2"/>
            <w:vMerge w:val="continue"/>
            <w:tcBorders>
              <w:top w:val="single" w:color="auto" w:sz="4" w:space="0"/>
              <w:left w:val="single" w:color="auto" w:sz="4" w:space="0"/>
              <w:bottom w:val="single" w:color="auto" w:sz="4" w:space="0"/>
              <w:right w:val="single" w:color="auto" w:sz="4" w:space="0"/>
            </w:tcBorders>
            <w:vAlign w:val="center"/>
          </w:tcPr>
          <w:p w14:paraId="090A9558">
            <w:pPr>
              <w:spacing w:line="276" w:lineRule="auto"/>
              <w:jc w:val="center"/>
            </w:pPr>
          </w:p>
        </w:tc>
        <w:tc>
          <w:tcPr>
            <w:tcW w:w="2445" w:type="dxa"/>
            <w:tcBorders>
              <w:top w:val="single" w:color="auto" w:sz="4" w:space="0"/>
              <w:left w:val="single" w:color="auto" w:sz="4" w:space="0"/>
              <w:bottom w:val="single" w:color="auto" w:sz="4" w:space="0"/>
              <w:right w:val="single" w:color="auto" w:sz="4" w:space="0"/>
            </w:tcBorders>
            <w:vAlign w:val="center"/>
          </w:tcPr>
          <w:p w14:paraId="760FFD8C">
            <w:pPr>
              <w:spacing w:line="276" w:lineRule="auto"/>
            </w:pPr>
            <w:r>
              <w:rPr>
                <w:rFonts w:hint="eastAsia"/>
              </w:rPr>
              <w:t>其他</w:t>
            </w:r>
          </w:p>
        </w:tc>
        <w:tc>
          <w:tcPr>
            <w:tcW w:w="4918" w:type="dxa"/>
            <w:tcBorders>
              <w:top w:val="single" w:color="auto" w:sz="4" w:space="0"/>
              <w:left w:val="single" w:color="auto" w:sz="4" w:space="0"/>
              <w:bottom w:val="single" w:color="auto" w:sz="4" w:space="0"/>
              <w:right w:val="single" w:color="auto" w:sz="4" w:space="0"/>
            </w:tcBorders>
            <w:vAlign w:val="center"/>
          </w:tcPr>
          <w:p w14:paraId="5E7EE6FB">
            <w:pPr>
              <w:spacing w:line="276" w:lineRule="auto"/>
              <w:rPr>
                <w:rFonts w:ascii="华文细黑" w:hAnsi="华文细黑"/>
              </w:rPr>
            </w:pPr>
            <w:r>
              <w:rPr>
                <w:rFonts w:hint="eastAsia" w:ascii="华文细黑" w:hAnsi="华文细黑"/>
              </w:rPr>
              <w:t>详见招标公告</w:t>
            </w:r>
          </w:p>
        </w:tc>
      </w:tr>
      <w:tr w14:paraId="5D73D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276" w:type="dxa"/>
            <w:gridSpan w:val="2"/>
            <w:vAlign w:val="center"/>
          </w:tcPr>
          <w:p w14:paraId="7A854EE9">
            <w:pPr>
              <w:spacing w:line="440" w:lineRule="exact"/>
              <w:jc w:val="center"/>
              <w:rPr>
                <w:rFonts w:ascii="宋体" w:hAnsi="宋体" w:cs="宋体"/>
                <w:sz w:val="24"/>
              </w:rPr>
            </w:pPr>
            <w:bookmarkStart w:id="440" w:name="_Toc184635093"/>
            <w:bookmarkStart w:id="441" w:name="_Toc12629"/>
            <w:r>
              <w:rPr>
                <w:rFonts w:hint="eastAsia" w:ascii="宋体" w:hAnsi="宋体" w:cs="宋体"/>
                <w:sz w:val="24"/>
              </w:rPr>
              <w:t>投标报价</w:t>
            </w:r>
          </w:p>
          <w:p w14:paraId="67313B9A">
            <w:pPr>
              <w:spacing w:line="440" w:lineRule="exact"/>
              <w:jc w:val="center"/>
              <w:rPr>
                <w:rFonts w:ascii="宋体" w:hAnsi="宋体" w:cs="宋体"/>
                <w:sz w:val="24"/>
              </w:rPr>
            </w:pPr>
            <w:r>
              <w:rPr>
                <w:rFonts w:hint="eastAsia" w:ascii="宋体" w:hAnsi="宋体" w:cs="宋体"/>
                <w:sz w:val="24"/>
              </w:rPr>
              <w:t>（100分）</w:t>
            </w:r>
          </w:p>
        </w:tc>
        <w:tc>
          <w:tcPr>
            <w:tcW w:w="8505" w:type="dxa"/>
            <w:gridSpan w:val="4"/>
          </w:tcPr>
          <w:p w14:paraId="66C85FA1">
            <w:pPr>
              <w:spacing w:line="360" w:lineRule="auto"/>
              <w:ind w:left="105" w:leftChars="50" w:firstLine="315" w:firstLineChars="150"/>
              <w:jc w:val="left"/>
              <w:rPr>
                <w:szCs w:val="21"/>
              </w:rPr>
            </w:pPr>
            <w:r>
              <w:rPr>
                <w:rFonts w:hint="eastAsia"/>
                <w:szCs w:val="21"/>
              </w:rPr>
              <w:t>本次招标采用合理低价法。</w:t>
            </w:r>
          </w:p>
          <w:p w14:paraId="300997C7">
            <w:pPr>
              <w:spacing w:line="360" w:lineRule="auto"/>
              <w:ind w:left="105" w:leftChars="50" w:firstLine="315" w:firstLineChars="150"/>
              <w:jc w:val="left"/>
              <w:rPr>
                <w:szCs w:val="21"/>
              </w:rPr>
            </w:pPr>
            <w:r>
              <w:rPr>
                <w:rFonts w:hint="eastAsia"/>
                <w:szCs w:val="21"/>
              </w:rPr>
              <w:t>投标报价（100分）</w:t>
            </w:r>
          </w:p>
          <w:p w14:paraId="7B108388">
            <w:pPr>
              <w:spacing w:line="360" w:lineRule="auto"/>
              <w:ind w:left="105" w:leftChars="50" w:firstLine="315" w:firstLineChars="150"/>
              <w:jc w:val="left"/>
              <w:rPr>
                <w:szCs w:val="21"/>
              </w:rPr>
            </w:pPr>
            <w:r>
              <w:rPr>
                <w:rFonts w:hint="eastAsia"/>
                <w:szCs w:val="21"/>
              </w:rPr>
              <w:t>评标价等于评标基准价的得满分，评标价低于评标基准价1%，扣0.6分，评标价高于评标基准价1%，扣0.9分；偏离不足1%的，按照插入法计算得分。</w:t>
            </w:r>
          </w:p>
          <w:p w14:paraId="4392FB3B">
            <w:pPr>
              <w:spacing w:line="360" w:lineRule="auto"/>
              <w:ind w:left="105" w:leftChars="50" w:firstLine="315" w:firstLineChars="150"/>
              <w:jc w:val="left"/>
              <w:rPr>
                <w:szCs w:val="21"/>
              </w:rPr>
            </w:pPr>
            <w:r>
              <w:rPr>
                <w:rFonts w:hint="eastAsia"/>
                <w:szCs w:val="21"/>
              </w:rPr>
              <w:t>以有效投标文件（有效投标文件是指初步评审合格的投标文件，下同）的评标价（评标价是指经澄清、补正和修正算术计算错误的投标报价，下同）算术平均值为A【当有效投标文件≥7家时，去掉最高和最低20%（四舍五入取整，末位投标报价相同的均保留）后进行平均；当有效投标文件4-6家时，剔除最高报价（最高报价相同的均剔除）后进行算术平均；当有效投标文件＜4时，则次低报价作为投标平均价A】。</w:t>
            </w:r>
          </w:p>
          <w:p w14:paraId="78BCE5F7">
            <w:pPr>
              <w:spacing w:line="360" w:lineRule="auto"/>
              <w:ind w:left="105" w:leftChars="50" w:firstLine="315" w:firstLineChars="150"/>
              <w:jc w:val="left"/>
              <w:rPr>
                <w:szCs w:val="21"/>
              </w:rPr>
            </w:pPr>
            <w:r>
              <w:rPr>
                <w:rFonts w:hint="eastAsia"/>
                <w:szCs w:val="21"/>
              </w:rPr>
              <w:t>评标基准价=A×K，K值在开标时由招标人代表在开标现场随机抽取确定，K值的取值范围为：93%、94%、95%、96%、97%。</w:t>
            </w:r>
          </w:p>
          <w:p w14:paraId="01CF2547">
            <w:pPr>
              <w:spacing w:line="360" w:lineRule="auto"/>
              <w:ind w:left="105" w:leftChars="50" w:firstLine="315" w:firstLineChars="150"/>
              <w:jc w:val="left"/>
              <w:rPr>
                <w:szCs w:val="21"/>
              </w:rPr>
            </w:pPr>
            <w:r>
              <w:rPr>
                <w:rFonts w:hint="eastAsia"/>
                <w:szCs w:val="21"/>
              </w:rPr>
              <w:t>说明：1.评标结束后，除确认存在评委评审和计算错误外，评标基准价不因招投标当事人异议、投诉、复议以及其它任何情形而改变。</w:t>
            </w:r>
          </w:p>
          <w:p w14:paraId="02D5C1AE">
            <w:pPr>
              <w:spacing w:line="360" w:lineRule="auto"/>
              <w:rPr>
                <w:rFonts w:ascii="宋体" w:hAnsi="宋体" w:cs="宋体"/>
                <w:szCs w:val="21"/>
              </w:rPr>
            </w:pPr>
            <w:r>
              <w:rPr>
                <w:rFonts w:hint="eastAsia"/>
                <w:szCs w:val="21"/>
              </w:rPr>
              <w:t>2.若经上述评审后存在两家及以上报价相同，则由委托人通过抽签方式确定最终中标人</w:t>
            </w:r>
          </w:p>
        </w:tc>
      </w:tr>
    </w:tbl>
    <w:p w14:paraId="40D06CAB">
      <w:pPr>
        <w:spacing w:line="400" w:lineRule="exact"/>
        <w:ind w:firstLine="437"/>
      </w:pPr>
    </w:p>
    <w:p w14:paraId="16E5C566">
      <w:pPr>
        <w:pStyle w:val="4"/>
        <w:spacing w:line="440" w:lineRule="exact"/>
        <w:rPr>
          <w:rFonts w:ascii="宋体" w:hAnsi="宋体" w:eastAsia="宋体"/>
        </w:rPr>
      </w:pPr>
      <w:bookmarkStart w:id="442" w:name="_Toc57041944"/>
      <w:r>
        <w:rPr>
          <w:rFonts w:ascii="宋体" w:hAnsi="宋体" w:eastAsia="宋体"/>
        </w:rPr>
        <w:t xml:space="preserve">1 </w:t>
      </w:r>
      <w:r>
        <w:rPr>
          <w:rFonts w:hint="eastAsia" w:ascii="宋体" w:hAnsi="宋体" w:eastAsia="宋体"/>
        </w:rPr>
        <w:t>评审方法</w:t>
      </w:r>
      <w:bookmarkEnd w:id="440"/>
      <w:bookmarkEnd w:id="441"/>
      <w:bookmarkEnd w:id="442"/>
    </w:p>
    <w:p w14:paraId="07D29567">
      <w:pPr>
        <w:autoSpaceDE w:val="0"/>
        <w:autoSpaceDN w:val="0"/>
        <w:spacing w:line="440" w:lineRule="exact"/>
        <w:ind w:firstLine="420" w:firstLineChars="200"/>
        <w:jc w:val="left"/>
        <w:rPr>
          <w:rFonts w:ascii="宋体" w:hAnsi="TimesNewRomanPSMT"/>
          <w:kern w:val="0"/>
        </w:rPr>
      </w:pPr>
      <w:r>
        <w:rPr>
          <w:rFonts w:hint="eastAsia" w:ascii="宋体" w:hAnsi="TimesNewRomanPSMT"/>
          <w:kern w:val="0"/>
        </w:rPr>
        <w:t>本项目采用合理低价法，仅以投标报价作为评审因素。评分采用百分制，评分计算过程中的偏离率和分值计算结果均保留两位小数，第三位四舍五入。并按得分由高到低顺序推荐三名中标候选人，招标人应确定排名第一的中标候选人为中标人。评标委员会在推荐中标候选人时，如因投标人的评标价、综合得分相同而影响排序，原则上综合得分相同的应以评标价较低的优先，评标价相同及其它情形应以抽签方式确定排序。</w:t>
      </w:r>
    </w:p>
    <w:p w14:paraId="34BA3E80">
      <w:pPr>
        <w:pStyle w:val="4"/>
        <w:rPr>
          <w:rFonts w:ascii="宋体" w:hAnsi="宋体" w:eastAsia="宋体"/>
        </w:rPr>
      </w:pPr>
      <w:bookmarkStart w:id="443" w:name="_Toc184635094"/>
      <w:bookmarkStart w:id="444" w:name="_Toc10088"/>
      <w:bookmarkStart w:id="445" w:name="_Toc57041945"/>
      <w:r>
        <w:rPr>
          <w:rFonts w:ascii="宋体" w:hAnsi="宋体" w:eastAsia="宋体"/>
        </w:rPr>
        <w:t xml:space="preserve">2 </w:t>
      </w:r>
      <w:r>
        <w:rPr>
          <w:rFonts w:hint="eastAsia" w:ascii="宋体" w:hAnsi="宋体" w:eastAsia="宋体"/>
        </w:rPr>
        <w:t>评审标准</w:t>
      </w:r>
      <w:bookmarkEnd w:id="443"/>
      <w:bookmarkEnd w:id="444"/>
      <w:bookmarkEnd w:id="445"/>
    </w:p>
    <w:p w14:paraId="67FC832C">
      <w:pPr>
        <w:pStyle w:val="5"/>
        <w:ind w:firstLine="118"/>
        <w:rPr>
          <w:szCs w:val="24"/>
        </w:rPr>
      </w:pPr>
      <w:bookmarkStart w:id="446" w:name="_Toc314"/>
      <w:bookmarkStart w:id="447" w:name="_Toc57041946"/>
      <w:r>
        <w:rPr>
          <w:szCs w:val="24"/>
        </w:rPr>
        <w:t xml:space="preserve">2.1 </w:t>
      </w:r>
      <w:r>
        <w:rPr>
          <w:rFonts w:hint="eastAsia"/>
          <w:szCs w:val="24"/>
        </w:rPr>
        <w:t>初步评审标准</w:t>
      </w:r>
      <w:bookmarkEnd w:id="446"/>
      <w:bookmarkEnd w:id="447"/>
    </w:p>
    <w:p w14:paraId="5D41248C">
      <w:pPr>
        <w:spacing w:line="360" w:lineRule="auto"/>
        <w:ind w:firstLine="420" w:firstLineChars="200"/>
      </w:pPr>
      <w:r>
        <w:rPr>
          <w:rFonts w:hint="eastAsia" w:ascii="宋体" w:hAnsi="宋体"/>
        </w:rPr>
        <w:t>2.1.1 形式评审标准：见评审办法前附表。</w:t>
      </w:r>
    </w:p>
    <w:p w14:paraId="2723E87A">
      <w:pPr>
        <w:spacing w:line="360" w:lineRule="auto"/>
        <w:ind w:firstLine="420" w:firstLineChars="200"/>
      </w:pPr>
      <w:r>
        <w:rPr>
          <w:rFonts w:hint="eastAsia" w:ascii="宋体" w:hAnsi="宋体"/>
        </w:rPr>
        <w:t>2.1.2 资格评审标准：见评审办法前附表。</w:t>
      </w:r>
    </w:p>
    <w:p w14:paraId="279A4D17">
      <w:pPr>
        <w:spacing w:line="360" w:lineRule="auto"/>
        <w:ind w:firstLine="420" w:firstLineChars="200"/>
      </w:pPr>
      <w:r>
        <w:rPr>
          <w:rFonts w:hint="eastAsia" w:ascii="宋体" w:hAnsi="宋体"/>
        </w:rPr>
        <w:t>2.1.3 响应性评审标准：见评审办法前附表。</w:t>
      </w:r>
    </w:p>
    <w:p w14:paraId="658C2ABE">
      <w:pPr>
        <w:pStyle w:val="5"/>
        <w:ind w:firstLine="118"/>
      </w:pPr>
      <w:bookmarkStart w:id="448" w:name="_Toc32592"/>
      <w:bookmarkStart w:id="449" w:name="_Toc57041947"/>
      <w:r>
        <w:t>2.2</w:t>
      </w:r>
      <w:r>
        <w:rPr>
          <w:rFonts w:hint="eastAsia"/>
        </w:rPr>
        <w:t xml:space="preserve"> 分值构成与评分标准</w:t>
      </w:r>
      <w:bookmarkEnd w:id="448"/>
      <w:bookmarkEnd w:id="449"/>
    </w:p>
    <w:p w14:paraId="4D50AE7D">
      <w:pPr>
        <w:spacing w:line="360" w:lineRule="auto"/>
        <w:ind w:firstLine="420" w:firstLineChars="200"/>
      </w:pPr>
      <w:r>
        <w:rPr>
          <w:rFonts w:hint="eastAsia" w:ascii="宋体" w:hAnsi="宋体"/>
        </w:rPr>
        <w:t>2.2.1 分值构成</w:t>
      </w:r>
    </w:p>
    <w:p w14:paraId="2B42C7BB">
      <w:pPr>
        <w:spacing w:line="360" w:lineRule="auto"/>
        <w:ind w:firstLine="420" w:firstLineChars="200"/>
      </w:pPr>
      <w:r>
        <w:rPr>
          <w:rFonts w:hint="eastAsia" w:ascii="宋体" w:hAnsi="宋体"/>
        </w:rPr>
        <w:t>(l）投标报价：见评审办法前附表；</w:t>
      </w:r>
    </w:p>
    <w:p w14:paraId="3BF50E00">
      <w:pPr>
        <w:spacing w:line="360" w:lineRule="auto"/>
        <w:ind w:firstLine="420" w:firstLineChars="200"/>
      </w:pPr>
      <w:r>
        <w:rPr>
          <w:rFonts w:hint="eastAsia" w:ascii="宋体" w:hAnsi="宋体"/>
        </w:rPr>
        <w:t>(2）商务响应：见评审办法前附表；</w:t>
      </w:r>
    </w:p>
    <w:p w14:paraId="4326F143">
      <w:pPr>
        <w:spacing w:line="360" w:lineRule="auto"/>
        <w:ind w:firstLine="420" w:firstLineChars="200"/>
      </w:pPr>
      <w:r>
        <w:rPr>
          <w:rFonts w:hint="eastAsia" w:ascii="宋体" w:hAnsi="宋体"/>
        </w:rPr>
        <w:t>(3）技术响应：见评审办法前附表；</w:t>
      </w:r>
    </w:p>
    <w:p w14:paraId="48027A52">
      <w:pPr>
        <w:spacing w:line="360" w:lineRule="auto"/>
        <w:ind w:firstLine="420" w:firstLineChars="200"/>
      </w:pPr>
      <w:r>
        <w:rPr>
          <w:rFonts w:hint="eastAsia" w:ascii="宋体" w:hAnsi="宋体"/>
        </w:rPr>
        <w:t>2.2.2 评标基准价计算方法：见评审办法前附表。</w:t>
      </w:r>
    </w:p>
    <w:p w14:paraId="221B739B">
      <w:pPr>
        <w:spacing w:line="360" w:lineRule="auto"/>
        <w:ind w:firstLine="420" w:firstLineChars="200"/>
      </w:pPr>
      <w:r>
        <w:rPr>
          <w:rFonts w:hint="eastAsia" w:ascii="宋体" w:hAnsi="宋体"/>
        </w:rPr>
        <w:t>2.2.3 评分标准</w:t>
      </w:r>
    </w:p>
    <w:p w14:paraId="122ED6A8">
      <w:pPr>
        <w:spacing w:line="360" w:lineRule="auto"/>
        <w:ind w:firstLine="420" w:firstLineChars="200"/>
      </w:pPr>
      <w:bookmarkStart w:id="450" w:name="_Toc184635095"/>
      <w:r>
        <w:rPr>
          <w:rFonts w:hint="eastAsia" w:ascii="宋体" w:hAnsi="宋体"/>
        </w:rPr>
        <w:t>(l）投标报价：见评审办法前附表；</w:t>
      </w:r>
    </w:p>
    <w:p w14:paraId="29ED9A3D">
      <w:pPr>
        <w:spacing w:line="360" w:lineRule="auto"/>
        <w:ind w:firstLine="420" w:firstLineChars="200"/>
      </w:pPr>
      <w:r>
        <w:rPr>
          <w:rFonts w:hint="eastAsia" w:ascii="宋体" w:hAnsi="宋体"/>
        </w:rPr>
        <w:t>(2）商务响应：见评审办法前附表；</w:t>
      </w:r>
    </w:p>
    <w:p w14:paraId="1B42DA46">
      <w:pPr>
        <w:spacing w:line="360" w:lineRule="auto"/>
        <w:ind w:firstLine="420" w:firstLineChars="200"/>
      </w:pPr>
      <w:r>
        <w:rPr>
          <w:rFonts w:hint="eastAsia" w:ascii="宋体" w:hAnsi="宋体"/>
        </w:rPr>
        <w:t>(3）技术响应：见评审办法前附表；</w:t>
      </w:r>
    </w:p>
    <w:p w14:paraId="6EBC672C">
      <w:pPr>
        <w:pStyle w:val="4"/>
        <w:rPr>
          <w:rFonts w:ascii="宋体" w:hAnsi="宋体" w:eastAsia="宋体"/>
        </w:rPr>
      </w:pPr>
      <w:bookmarkStart w:id="451" w:name="_Toc57041948"/>
      <w:bookmarkStart w:id="452" w:name="_Toc25437"/>
      <w:r>
        <w:rPr>
          <w:rFonts w:ascii="宋体" w:hAnsi="宋体" w:eastAsia="宋体"/>
        </w:rPr>
        <w:t>3</w:t>
      </w:r>
      <w:r>
        <w:rPr>
          <w:rFonts w:hint="eastAsia" w:ascii="宋体" w:hAnsi="宋体" w:eastAsia="宋体"/>
        </w:rPr>
        <w:t xml:space="preserve"> 评审程序</w:t>
      </w:r>
      <w:bookmarkEnd w:id="450"/>
      <w:bookmarkEnd w:id="451"/>
      <w:bookmarkEnd w:id="452"/>
    </w:p>
    <w:p w14:paraId="4CCF0895">
      <w:pPr>
        <w:pStyle w:val="5"/>
        <w:ind w:firstLine="118"/>
      </w:pPr>
      <w:bookmarkStart w:id="453" w:name="_Toc22907"/>
      <w:bookmarkStart w:id="454" w:name="_Toc57041949"/>
      <w:r>
        <w:rPr>
          <w:kern w:val="0"/>
        </w:rPr>
        <w:t xml:space="preserve">3.1 </w:t>
      </w:r>
      <w:r>
        <w:rPr>
          <w:rFonts w:hint="eastAsia"/>
          <w:kern w:val="0"/>
        </w:rPr>
        <w:t>评审准备</w:t>
      </w:r>
      <w:bookmarkEnd w:id="453"/>
      <w:bookmarkEnd w:id="454"/>
    </w:p>
    <w:p w14:paraId="3D8910E0">
      <w:pPr>
        <w:autoSpaceDE w:val="0"/>
        <w:autoSpaceDN w:val="0"/>
        <w:spacing w:line="500" w:lineRule="exact"/>
        <w:ind w:firstLine="420" w:firstLineChars="200"/>
        <w:jc w:val="left"/>
        <w:rPr>
          <w:kern w:val="0"/>
        </w:rPr>
      </w:pPr>
      <w:r>
        <w:rPr>
          <w:rFonts w:hint="eastAsia" w:ascii="宋体" w:hAnsi="宋体"/>
          <w:kern w:val="0"/>
        </w:rPr>
        <w:t>3.1.1 评审委员会成员到达评审现场时应在签到表上签到以证明其出席。</w:t>
      </w:r>
    </w:p>
    <w:p w14:paraId="4E59258F">
      <w:pPr>
        <w:autoSpaceDE w:val="0"/>
        <w:autoSpaceDN w:val="0"/>
        <w:spacing w:line="500" w:lineRule="exact"/>
        <w:ind w:firstLine="420" w:firstLineChars="200"/>
        <w:jc w:val="left"/>
        <w:rPr>
          <w:kern w:val="0"/>
        </w:rPr>
      </w:pPr>
      <w:r>
        <w:rPr>
          <w:rFonts w:hint="eastAsia" w:ascii="宋体" w:hAnsi="宋体"/>
          <w:kern w:val="0"/>
        </w:rPr>
        <w:t>3.1.2 评审委员会成员首先推选一名评审委员会负责人，负责评审活动的组织领导工作。</w:t>
      </w:r>
    </w:p>
    <w:p w14:paraId="4D02C407">
      <w:pPr>
        <w:autoSpaceDE w:val="0"/>
        <w:autoSpaceDN w:val="0"/>
        <w:spacing w:line="500" w:lineRule="exact"/>
        <w:ind w:firstLine="420" w:firstLineChars="200"/>
        <w:jc w:val="left"/>
        <w:rPr>
          <w:kern w:val="0"/>
        </w:rPr>
      </w:pPr>
      <w:r>
        <w:rPr>
          <w:rFonts w:hint="eastAsia" w:ascii="宋体" w:hAnsi="宋体"/>
          <w:kern w:val="0"/>
        </w:rPr>
        <w:t>3.1.3 招标人或招标代理机构应向评审委员会提供评审所需的信息和数据。评审委员会负责人应组织评审委员会成员认真研究招标文件，未在招标文件中规定的标准和方法不得作为评审的依据。</w:t>
      </w:r>
    </w:p>
    <w:p w14:paraId="7E271BA7">
      <w:pPr>
        <w:pStyle w:val="5"/>
        <w:ind w:firstLine="118"/>
      </w:pPr>
      <w:bookmarkStart w:id="455" w:name="_Toc6331"/>
      <w:bookmarkStart w:id="456" w:name="_Toc57041950"/>
      <w:r>
        <w:t xml:space="preserve">3.2 </w:t>
      </w:r>
      <w:r>
        <w:rPr>
          <w:rFonts w:hint="eastAsia"/>
        </w:rPr>
        <w:t>初步评审</w:t>
      </w:r>
      <w:bookmarkEnd w:id="455"/>
      <w:bookmarkEnd w:id="456"/>
    </w:p>
    <w:p w14:paraId="3D5CD113">
      <w:pPr>
        <w:spacing w:line="360" w:lineRule="auto"/>
        <w:ind w:firstLine="420" w:firstLineChars="200"/>
        <w:rPr>
          <w:rFonts w:ascii="宋体" w:hAnsi="宋体"/>
        </w:rPr>
      </w:pPr>
      <w:r>
        <w:rPr>
          <w:rFonts w:hint="eastAsia" w:ascii="宋体" w:hAnsi="宋体"/>
        </w:rPr>
        <w:t>3.2.1评审委员会依据本章第2.1 款规定的标准对投标文件进行初步评审。</w:t>
      </w:r>
    </w:p>
    <w:p w14:paraId="2CCDA609">
      <w:pPr>
        <w:spacing w:line="360" w:lineRule="auto"/>
        <w:ind w:firstLine="420" w:firstLineChars="200"/>
        <w:rPr>
          <w:rFonts w:ascii="宋体" w:hAnsi="宋体"/>
        </w:rPr>
      </w:pPr>
      <w:r>
        <w:rPr>
          <w:rFonts w:hint="eastAsia" w:ascii="宋体" w:hAnsi="宋体"/>
        </w:rPr>
        <w:t>3.2.2投标文件不符合本章第2.1款评审标准的，属于重大偏差，视为未能对招标文件作出实质性响应，应当作为无效投标予以否决。</w:t>
      </w:r>
    </w:p>
    <w:p w14:paraId="686782D4">
      <w:pPr>
        <w:spacing w:line="360" w:lineRule="auto"/>
        <w:ind w:firstLine="420" w:firstLineChars="200"/>
        <w:rPr>
          <w:rFonts w:ascii="宋体" w:hAnsi="宋体"/>
        </w:rPr>
      </w:pPr>
      <w:r>
        <w:rPr>
          <w:rFonts w:hint="eastAsia" w:ascii="宋体" w:hAnsi="宋体"/>
        </w:rPr>
        <w:t>3.2.3投标文件有下列情况之一的，视为未能对招标文件作出实质性响应：</w:t>
      </w:r>
    </w:p>
    <w:p w14:paraId="6612FDDE">
      <w:pPr>
        <w:spacing w:line="360" w:lineRule="auto"/>
        <w:ind w:firstLine="420" w:firstLineChars="200"/>
        <w:rPr>
          <w:rFonts w:ascii="宋体" w:hAnsi="宋体"/>
        </w:rPr>
      </w:pPr>
      <w:r>
        <w:rPr>
          <w:rFonts w:hint="eastAsia" w:ascii="宋体" w:hAnsi="宋体"/>
        </w:rPr>
        <w:t xml:space="preserve">（1）投标人资格条件不符合国家有关规定或招标文件要求的； </w:t>
      </w:r>
    </w:p>
    <w:p w14:paraId="01A21B59">
      <w:pPr>
        <w:spacing w:line="360" w:lineRule="auto"/>
        <w:ind w:firstLine="420" w:firstLineChars="200"/>
        <w:rPr>
          <w:rFonts w:ascii="宋体" w:hAnsi="宋体"/>
        </w:rPr>
      </w:pPr>
      <w:r>
        <w:rPr>
          <w:rFonts w:hint="eastAsia" w:ascii="宋体" w:hAnsi="宋体"/>
        </w:rPr>
        <w:t>（2）组成联合体投标未提供联合体各方共同投标协议的；</w:t>
      </w:r>
    </w:p>
    <w:p w14:paraId="42FFD5D0">
      <w:pPr>
        <w:spacing w:line="360" w:lineRule="auto"/>
        <w:ind w:firstLine="420" w:firstLineChars="200"/>
        <w:rPr>
          <w:rFonts w:ascii="宋体" w:hAnsi="宋体"/>
        </w:rPr>
      </w:pPr>
      <w:r>
        <w:rPr>
          <w:rFonts w:hint="eastAsia" w:ascii="宋体" w:hAnsi="宋体"/>
        </w:rPr>
        <w:t>（3）在同一招标项目中，联合体成员以自己名义单独投标或者参加其他联合体投标的；</w:t>
      </w:r>
    </w:p>
    <w:p w14:paraId="6BBA540B">
      <w:pPr>
        <w:spacing w:line="360" w:lineRule="auto"/>
        <w:ind w:firstLine="420" w:firstLineChars="200"/>
        <w:rPr>
          <w:rFonts w:ascii="宋体" w:hAnsi="宋体"/>
        </w:rPr>
      </w:pPr>
      <w:r>
        <w:rPr>
          <w:rFonts w:hint="eastAsia" w:ascii="宋体" w:hAnsi="宋体"/>
        </w:rPr>
        <w:t>（4）联合体成员与资格预审确定的结果不一致的；</w:t>
      </w:r>
    </w:p>
    <w:p w14:paraId="66371A3D">
      <w:pPr>
        <w:spacing w:line="360" w:lineRule="auto"/>
        <w:ind w:firstLine="420" w:firstLineChars="200"/>
        <w:rPr>
          <w:rFonts w:ascii="宋体" w:hAnsi="宋体"/>
        </w:rPr>
      </w:pPr>
      <w:r>
        <w:rPr>
          <w:rFonts w:hint="eastAsia" w:ascii="宋体" w:hAnsi="宋体"/>
        </w:rPr>
        <w:t>（5）开标时投标人代表与投标文件中授权委托代表不是同一人的（根据现场开标记录与投标文件比对）；</w:t>
      </w:r>
    </w:p>
    <w:p w14:paraId="6AF673E5">
      <w:pPr>
        <w:spacing w:line="360" w:lineRule="auto"/>
        <w:ind w:firstLine="420" w:firstLineChars="200"/>
        <w:rPr>
          <w:rFonts w:ascii="宋体" w:hAnsi="宋体"/>
        </w:rPr>
      </w:pPr>
      <w:r>
        <w:rPr>
          <w:rFonts w:hint="eastAsia" w:ascii="宋体" w:hAnsi="宋体"/>
        </w:rPr>
        <w:t>（6）投标文件中的投标函未加盖投标人的公章；</w:t>
      </w:r>
    </w:p>
    <w:p w14:paraId="0BC8FAF3">
      <w:pPr>
        <w:spacing w:line="360" w:lineRule="auto"/>
        <w:ind w:firstLine="420" w:firstLineChars="200"/>
        <w:rPr>
          <w:rFonts w:ascii="宋体" w:hAnsi="宋体"/>
        </w:rPr>
      </w:pPr>
      <w:r>
        <w:rPr>
          <w:rFonts w:hint="eastAsia" w:ascii="宋体" w:hAnsi="宋体"/>
        </w:rPr>
        <w:t>（7） 投标文件中的投标函无企业法定代表人（或企业法定代表人委托代理人）印章（或签字）的；</w:t>
      </w:r>
    </w:p>
    <w:p w14:paraId="384FFF57">
      <w:pPr>
        <w:spacing w:line="360" w:lineRule="auto"/>
        <w:ind w:firstLine="420" w:firstLineChars="200"/>
        <w:rPr>
          <w:rFonts w:ascii="宋体" w:hAnsi="宋体"/>
        </w:rPr>
      </w:pPr>
      <w:r>
        <w:rPr>
          <w:rFonts w:hint="eastAsia" w:ascii="宋体" w:hAnsi="宋体"/>
        </w:rPr>
        <w:t>（8）如投标函由企业法定代表人委托代理人加盖印章（或签字），企业法定代表人委托代理人没有合法、有效的委托书（原件）的；</w:t>
      </w:r>
    </w:p>
    <w:p w14:paraId="700375E2">
      <w:pPr>
        <w:spacing w:line="360" w:lineRule="auto"/>
        <w:ind w:firstLine="420" w:firstLineChars="200"/>
        <w:rPr>
          <w:rFonts w:ascii="宋体" w:hAnsi="宋体"/>
        </w:rPr>
      </w:pPr>
      <w:r>
        <w:rPr>
          <w:rFonts w:hint="eastAsia" w:ascii="宋体" w:hAnsi="宋体"/>
        </w:rPr>
        <w:t>（9）同一投标人提交两个及以上不同的投标文件或者投标报价；</w:t>
      </w:r>
    </w:p>
    <w:p w14:paraId="4FCE51AB">
      <w:pPr>
        <w:spacing w:line="360" w:lineRule="auto"/>
        <w:ind w:firstLine="420" w:firstLineChars="200"/>
        <w:rPr>
          <w:rFonts w:ascii="宋体" w:hAnsi="宋体"/>
        </w:rPr>
      </w:pPr>
      <w:r>
        <w:rPr>
          <w:rFonts w:hint="eastAsia" w:ascii="宋体" w:hAnsi="宋体"/>
        </w:rPr>
        <w:t>（10）投标报价低于成本或者高于招标文件设定的最高投标限价的；</w:t>
      </w:r>
    </w:p>
    <w:p w14:paraId="391FDC9F">
      <w:pPr>
        <w:spacing w:line="360" w:lineRule="auto"/>
        <w:ind w:firstLine="420" w:firstLineChars="200"/>
        <w:rPr>
          <w:rFonts w:ascii="宋体" w:hAnsi="宋体"/>
        </w:rPr>
      </w:pPr>
      <w:r>
        <w:rPr>
          <w:rFonts w:hint="eastAsia" w:ascii="宋体" w:hAnsi="宋体"/>
        </w:rPr>
        <w:t>（11）未按招标文件要求提供投标保证金的；</w:t>
      </w:r>
    </w:p>
    <w:p w14:paraId="165F8EE4">
      <w:pPr>
        <w:spacing w:line="360" w:lineRule="auto"/>
        <w:ind w:firstLine="420" w:firstLineChars="200"/>
        <w:rPr>
          <w:rFonts w:ascii="宋体" w:hAnsi="宋体"/>
        </w:rPr>
      </w:pPr>
      <w:r>
        <w:rPr>
          <w:rFonts w:hint="eastAsia" w:ascii="宋体" w:hAnsi="宋体"/>
        </w:rPr>
        <w:t xml:space="preserve">（12）明显不符合技术规范、技术标准的要求的； </w:t>
      </w:r>
    </w:p>
    <w:p w14:paraId="6AF96D1C">
      <w:pPr>
        <w:spacing w:line="360" w:lineRule="auto"/>
        <w:ind w:firstLine="420" w:firstLineChars="200"/>
        <w:rPr>
          <w:rFonts w:ascii="宋体" w:hAnsi="宋体"/>
        </w:rPr>
      </w:pPr>
      <w:r>
        <w:rPr>
          <w:rFonts w:hint="eastAsia" w:ascii="宋体" w:hAnsi="宋体"/>
        </w:rPr>
        <w:t>（13）投标文件提出的工程质量、服务期、价款结算和支付办法不能满足招标文件要求或招标人不能接受；</w:t>
      </w:r>
    </w:p>
    <w:p w14:paraId="7DDBB26B">
      <w:pPr>
        <w:spacing w:line="360" w:lineRule="auto"/>
        <w:ind w:firstLine="420" w:firstLineChars="200"/>
        <w:rPr>
          <w:rFonts w:ascii="宋体" w:hAnsi="宋体"/>
        </w:rPr>
      </w:pPr>
      <w:r>
        <w:rPr>
          <w:rFonts w:hint="eastAsia" w:ascii="宋体" w:hAnsi="宋体"/>
        </w:rPr>
        <w:t xml:space="preserve">（14）不同投标人的投标文件出现了评审委员会认为不应当雷同的情况的； </w:t>
      </w:r>
    </w:p>
    <w:p w14:paraId="7058BEC2">
      <w:pPr>
        <w:spacing w:line="360" w:lineRule="auto"/>
        <w:ind w:firstLine="420" w:firstLineChars="200"/>
        <w:rPr>
          <w:rFonts w:ascii="宋体" w:hAnsi="宋体"/>
        </w:rPr>
      </w:pPr>
      <w:r>
        <w:rPr>
          <w:rFonts w:hint="eastAsia" w:ascii="宋体" w:hAnsi="宋体"/>
        </w:rPr>
        <w:t>（15）以他人的名义投标、串通投标、以行贿手段谋取中标或者以其他弄虚作假方式投标的。</w:t>
      </w:r>
    </w:p>
    <w:p w14:paraId="179B1D7A">
      <w:pPr>
        <w:spacing w:line="360" w:lineRule="auto"/>
        <w:ind w:firstLine="420" w:firstLineChars="200"/>
        <w:rPr>
          <w:rFonts w:ascii="宋体" w:hAnsi="宋体"/>
        </w:rPr>
      </w:pPr>
      <w:r>
        <w:rPr>
          <w:rFonts w:hint="eastAsia" w:ascii="宋体" w:hAnsi="宋体"/>
        </w:rPr>
        <w:t>（16）投标文件组成不符合招标文件要求的。</w:t>
      </w:r>
    </w:p>
    <w:p w14:paraId="34C694AF">
      <w:pPr>
        <w:spacing w:line="360" w:lineRule="auto"/>
        <w:ind w:firstLine="420" w:firstLineChars="200"/>
      </w:pPr>
      <w:r>
        <w:rPr>
          <w:rFonts w:hint="eastAsia" w:ascii="宋体" w:hAnsi="宋体"/>
        </w:rPr>
        <w:t>3.2.4 投标报价有算术错误的，评审委员会按以下原则对投标报价进行修正，修正的价格经投标人书面确认后具有约束力。</w:t>
      </w:r>
    </w:p>
    <w:p w14:paraId="4142BC5D">
      <w:pPr>
        <w:spacing w:line="360" w:lineRule="auto"/>
        <w:ind w:firstLine="420" w:firstLineChars="200"/>
      </w:pPr>
      <w:r>
        <w:rPr>
          <w:rFonts w:hint="eastAsia" w:ascii="宋体" w:hAnsi="宋体"/>
        </w:rPr>
        <w:t>(1）投标文件中的大写金额与小写金额不一致的，以大写金额为准；</w:t>
      </w:r>
    </w:p>
    <w:p w14:paraId="38411DDE">
      <w:pPr>
        <w:spacing w:line="360" w:lineRule="auto"/>
        <w:ind w:firstLine="420" w:firstLineChars="200"/>
        <w:rPr>
          <w:rFonts w:ascii="宋体" w:hAnsi="宋体"/>
        </w:rPr>
      </w:pPr>
      <w:r>
        <w:rPr>
          <w:rFonts w:hint="eastAsia" w:ascii="宋体" w:hAnsi="宋体"/>
        </w:rPr>
        <w:t>(2）总价金额与依据单价计算出的结果不一致的，以单价金额为准修正总价，但单价金额小数点有明显错误的除外。</w:t>
      </w:r>
    </w:p>
    <w:p w14:paraId="35239E92">
      <w:pPr>
        <w:spacing w:line="360" w:lineRule="auto"/>
        <w:ind w:firstLine="420" w:firstLineChars="200"/>
      </w:pPr>
      <w:r>
        <w:rPr>
          <w:rFonts w:hint="eastAsia" w:ascii="宋体" w:hAnsi="宋体"/>
        </w:rPr>
        <w:t>3.2.5 凡招标文件未明确标明无效标条款的，评审</w:t>
      </w:r>
      <w:r>
        <w:rPr>
          <w:rFonts w:ascii="宋体" w:hAnsi="宋体"/>
        </w:rPr>
        <w:t>委员会</w:t>
      </w:r>
      <w:r>
        <w:rPr>
          <w:rFonts w:hint="eastAsia" w:ascii="宋体" w:hAnsi="宋体"/>
        </w:rPr>
        <w:t>不得作为判定无效投标的依据。</w:t>
      </w:r>
    </w:p>
    <w:p w14:paraId="32872779">
      <w:pPr>
        <w:pStyle w:val="5"/>
        <w:ind w:firstLine="118"/>
      </w:pPr>
      <w:bookmarkStart w:id="457" w:name="_Toc57041951"/>
      <w:bookmarkStart w:id="458" w:name="_Toc7389"/>
      <w:r>
        <w:t xml:space="preserve">3.3 </w:t>
      </w:r>
      <w:r>
        <w:rPr>
          <w:rFonts w:hint="eastAsia"/>
        </w:rPr>
        <w:t>详细评审</w:t>
      </w:r>
      <w:bookmarkEnd w:id="457"/>
      <w:bookmarkEnd w:id="458"/>
    </w:p>
    <w:p w14:paraId="06021E09">
      <w:pPr>
        <w:spacing w:line="400" w:lineRule="exact"/>
        <w:ind w:firstLine="420" w:firstLineChars="200"/>
      </w:pPr>
      <w:bookmarkStart w:id="459" w:name="_Toc5826"/>
      <w:r>
        <w:rPr>
          <w:rFonts w:hint="eastAsia"/>
        </w:rPr>
        <w:t>3.3.1 按报价高低进行排序。</w:t>
      </w:r>
    </w:p>
    <w:p w14:paraId="1A46E0EA">
      <w:pPr>
        <w:spacing w:line="400" w:lineRule="exact"/>
        <w:ind w:firstLine="420" w:firstLineChars="200"/>
      </w:pPr>
      <w:r>
        <w:rPr>
          <w:rFonts w:hint="eastAsia"/>
        </w:rPr>
        <w:t>3.3.2 报价相同的原则上应以抽签方式确定排序。</w:t>
      </w:r>
    </w:p>
    <w:p w14:paraId="2C2F39D7">
      <w:pPr>
        <w:pStyle w:val="5"/>
        <w:ind w:firstLine="118"/>
      </w:pPr>
      <w:bookmarkStart w:id="460" w:name="_Toc57041952"/>
      <w:r>
        <w:t xml:space="preserve">3.4 </w:t>
      </w:r>
      <w:r>
        <w:rPr>
          <w:rFonts w:hint="eastAsia"/>
        </w:rPr>
        <w:t>投标文件的澄清和补正</w:t>
      </w:r>
      <w:bookmarkEnd w:id="459"/>
      <w:bookmarkEnd w:id="460"/>
    </w:p>
    <w:p w14:paraId="2ACAB5DD">
      <w:pPr>
        <w:spacing w:line="360" w:lineRule="auto"/>
        <w:ind w:firstLine="420" w:firstLineChars="200"/>
      </w:pPr>
      <w:r>
        <w:rPr>
          <w:rFonts w:hint="eastAsia" w:ascii="宋体" w:hAnsi="宋体"/>
        </w:rPr>
        <w:t>3.4.1 在评审过程中，评审委员会可以书面形式要求投标人对所提交投标文件中不明确的内容进行书面澄清或说明，或者对细微偏差进行补正。评审委员会不接受投标人主动提出的澄清、说明或补正。</w:t>
      </w:r>
    </w:p>
    <w:p w14:paraId="3DAFA113">
      <w:pPr>
        <w:spacing w:line="360" w:lineRule="auto"/>
        <w:ind w:firstLine="420" w:firstLineChars="200"/>
      </w:pPr>
      <w:r>
        <w:rPr>
          <w:rFonts w:hint="eastAsia" w:ascii="宋体" w:hAnsi="宋体"/>
        </w:rPr>
        <w:t>3.4.2 澄清、说明和补正不得改变投标文件的实质性内容（算术性错误修正的除外）。投标人的书面澄清、说明和补正属于投标文件的组成部分。</w:t>
      </w:r>
    </w:p>
    <w:p w14:paraId="15C31BD0">
      <w:pPr>
        <w:spacing w:line="360" w:lineRule="auto"/>
        <w:ind w:firstLine="420" w:firstLineChars="200"/>
      </w:pPr>
      <w:r>
        <w:rPr>
          <w:rFonts w:hint="eastAsia" w:ascii="宋体" w:hAnsi="宋体"/>
        </w:rPr>
        <w:t>3.4.3 评审委员会对投标人提交的澄清、说明或补正有疑问的，可以要求投标人进一步澄清、说明或补正。</w:t>
      </w:r>
    </w:p>
    <w:p w14:paraId="790EC018">
      <w:pPr>
        <w:pStyle w:val="5"/>
        <w:ind w:firstLine="118"/>
        <w:rPr>
          <w:b/>
          <w:kern w:val="0"/>
        </w:rPr>
      </w:pPr>
      <w:bookmarkStart w:id="461" w:name="_Toc57041953"/>
      <w:bookmarkStart w:id="462" w:name="_Toc29288"/>
      <w:r>
        <w:rPr>
          <w:rFonts w:hint="eastAsia"/>
        </w:rPr>
        <w:t>3.5 推荐中标候选人或直接确定中标人</w:t>
      </w:r>
      <w:bookmarkEnd w:id="461"/>
      <w:bookmarkEnd w:id="462"/>
    </w:p>
    <w:p w14:paraId="45EC4823">
      <w:pPr>
        <w:spacing w:line="360" w:lineRule="auto"/>
        <w:ind w:firstLine="420" w:firstLineChars="200"/>
      </w:pPr>
      <w:r>
        <w:rPr>
          <w:rFonts w:hint="eastAsia"/>
        </w:rPr>
        <w:t>评标委员会在推荐中标候选人时，应遵照以下原则</w:t>
      </w:r>
      <w:r>
        <w:t>:</w:t>
      </w:r>
    </w:p>
    <w:p w14:paraId="14984474">
      <w:pPr>
        <w:spacing w:line="360" w:lineRule="auto"/>
        <w:ind w:firstLine="420" w:firstLineChars="200"/>
      </w:pPr>
      <w:r>
        <w:t>3.</w:t>
      </w:r>
      <w:r>
        <w:rPr>
          <w:rFonts w:hint="eastAsia"/>
        </w:rPr>
        <w:t>5</w:t>
      </w:r>
      <w:r>
        <w:t>.1</w:t>
      </w:r>
      <w:r>
        <w:rPr>
          <w:rFonts w:hint="eastAsia"/>
        </w:rPr>
        <w:t>评标委员会按照最终得分由高至低的次序排列，推荐1-</w:t>
      </w:r>
      <w:r>
        <w:t>3</w:t>
      </w:r>
      <w:r>
        <w:rPr>
          <w:rFonts w:hint="eastAsia"/>
        </w:rPr>
        <w:t>名中标候选人。</w:t>
      </w:r>
    </w:p>
    <w:p w14:paraId="3086D289">
      <w:pPr>
        <w:spacing w:line="360" w:lineRule="auto"/>
        <w:ind w:firstLine="420" w:firstLineChars="200"/>
      </w:pPr>
      <w:r>
        <w:t>3.</w:t>
      </w:r>
      <w:r>
        <w:rPr>
          <w:rFonts w:hint="eastAsia"/>
        </w:rPr>
        <w:t>5</w:t>
      </w:r>
      <w:r>
        <w:t>.2</w:t>
      </w:r>
      <w:r>
        <w:rPr>
          <w:rFonts w:hint="eastAsia"/>
        </w:rPr>
        <w:t>如果评标委员会根据本章的规定作无效标处理后，有效投标不足三个，评标委员会应当对是否具有竞争性进行判断：有竞争性的，按有效投标最终得分由高至低的次序推荐中标候选人；缺乏竞争的，评标委员会应当否决全部投标。</w:t>
      </w:r>
    </w:p>
    <w:p w14:paraId="3F4794AE">
      <w:pPr>
        <w:pStyle w:val="5"/>
        <w:ind w:firstLine="118"/>
      </w:pPr>
      <w:bookmarkStart w:id="463" w:name="_Toc57041954"/>
      <w:r>
        <w:rPr>
          <w:rFonts w:hint="eastAsia"/>
        </w:rPr>
        <w:t>3.6 提交评审报告</w:t>
      </w:r>
      <w:bookmarkEnd w:id="463"/>
      <w:r>
        <w:rPr>
          <w:rFonts w:hint="eastAsia"/>
        </w:rPr>
        <w:t xml:space="preserve"> </w:t>
      </w:r>
    </w:p>
    <w:p w14:paraId="381FB8EB">
      <w:pPr>
        <w:autoSpaceDE w:val="0"/>
        <w:autoSpaceDN w:val="0"/>
        <w:spacing w:line="500" w:lineRule="exact"/>
        <w:ind w:firstLine="420" w:firstLineChars="200"/>
        <w:jc w:val="left"/>
        <w:rPr>
          <w:rFonts w:ascii="宋体" w:hAnsi="TimesNewRomanPSMT"/>
          <w:kern w:val="0"/>
        </w:rPr>
      </w:pPr>
      <w:r>
        <w:rPr>
          <w:rFonts w:hint="eastAsia" w:ascii="宋体" w:hAnsi="TimesNewRomanPSMT"/>
          <w:kern w:val="0"/>
        </w:rPr>
        <w:t>评审委员会完成评审后，应当向招标人提交书面评审报告。评审报告应当由全体评审委员会成员签字，并于评审结束时抄送有关行政监督部门。</w:t>
      </w:r>
    </w:p>
    <w:p w14:paraId="3405E3D1">
      <w:bookmarkStart w:id="464" w:name="_Toc246996252"/>
      <w:bookmarkStart w:id="465" w:name="_Toc144974577"/>
      <w:bookmarkStart w:id="466" w:name="_Toc152045609"/>
      <w:bookmarkStart w:id="467" w:name="_Toc17692"/>
      <w:bookmarkStart w:id="468" w:name="_Toc152042387"/>
      <w:bookmarkStart w:id="469" w:name="_Toc387526344"/>
      <w:bookmarkStart w:id="470" w:name="_Toc387526240"/>
      <w:bookmarkStart w:id="471" w:name="_Toc387526436"/>
      <w:bookmarkStart w:id="472" w:name="_Toc179632627"/>
      <w:bookmarkStart w:id="473" w:name="_Toc247085767"/>
      <w:bookmarkStart w:id="474" w:name="_Toc366679736"/>
      <w:bookmarkStart w:id="475" w:name="_Toc246996995"/>
    </w:p>
    <w:p w14:paraId="61019799">
      <w:pPr>
        <w:pStyle w:val="3"/>
        <w:spacing w:line="360" w:lineRule="auto"/>
      </w:pPr>
      <w:r>
        <w:br w:type="page"/>
      </w:r>
      <w:bookmarkStart w:id="476" w:name="_Toc57041955"/>
      <w:r>
        <w:rPr>
          <w:rFonts w:hint="eastAsia"/>
        </w:rPr>
        <w:t>第四章 合同条款及格式</w:t>
      </w:r>
      <w:bookmarkEnd w:id="464"/>
      <w:bookmarkEnd w:id="465"/>
      <w:bookmarkEnd w:id="466"/>
      <w:bookmarkEnd w:id="467"/>
      <w:bookmarkEnd w:id="468"/>
      <w:bookmarkEnd w:id="469"/>
      <w:bookmarkEnd w:id="470"/>
      <w:bookmarkEnd w:id="471"/>
      <w:bookmarkEnd w:id="472"/>
      <w:bookmarkEnd w:id="473"/>
      <w:bookmarkEnd w:id="474"/>
      <w:bookmarkEnd w:id="475"/>
      <w:bookmarkEnd w:id="476"/>
    </w:p>
    <w:p w14:paraId="1521BE26">
      <w:pPr>
        <w:spacing w:after="156" w:afterLines="50" w:line="400" w:lineRule="exact"/>
        <w:jc w:val="center"/>
      </w:pPr>
    </w:p>
    <w:p w14:paraId="4A886B0E">
      <w:pPr>
        <w:ind w:firstLine="1205" w:firstLineChars="250"/>
        <w:rPr>
          <w:rFonts w:ascii="黑体" w:eastAsia="黑体"/>
          <w:b/>
          <w:sz w:val="48"/>
          <w:szCs w:val="48"/>
        </w:rPr>
      </w:pPr>
      <w:bookmarkStart w:id="477" w:name="_Toc1662"/>
      <w:r>
        <w:rPr>
          <w:rFonts w:hint="eastAsia" w:ascii="黑体" w:eastAsia="黑体"/>
          <w:b/>
          <w:sz w:val="48"/>
          <w:szCs w:val="48"/>
        </w:rPr>
        <w:t>江苏省建设工程造价咨询合同</w:t>
      </w:r>
      <w:bookmarkEnd w:id="477"/>
    </w:p>
    <w:p w14:paraId="6E7FDB37">
      <w:pPr>
        <w:jc w:val="center"/>
        <w:rPr>
          <w:b/>
          <w:sz w:val="36"/>
          <w:szCs w:val="36"/>
        </w:rPr>
      </w:pPr>
    </w:p>
    <w:p w14:paraId="3A09B2BC">
      <w:pPr>
        <w:jc w:val="center"/>
        <w:rPr>
          <w:b/>
          <w:sz w:val="44"/>
          <w:szCs w:val="44"/>
        </w:rPr>
      </w:pPr>
    </w:p>
    <w:p w14:paraId="211AA38D"/>
    <w:p w14:paraId="1601161E"/>
    <w:p w14:paraId="42BA31B9">
      <w:pPr>
        <w:spacing w:line="720" w:lineRule="exact"/>
        <w:rPr>
          <w:sz w:val="28"/>
          <w:szCs w:val="28"/>
          <w:u w:val="single"/>
        </w:rPr>
      </w:pPr>
      <w:r>
        <w:rPr>
          <w:rFonts w:hint="eastAsia" w:ascii="黑体" w:hAnsi="黑体" w:eastAsia="黑体" w:cs="黑体"/>
          <w:sz w:val="28"/>
          <w:szCs w:val="28"/>
        </w:rPr>
        <w:t>项 目 名 称：</w:t>
      </w:r>
      <w:r>
        <w:rPr>
          <w:rFonts w:hint="eastAsia" w:eastAsia="黑体"/>
          <w:sz w:val="28"/>
          <w:szCs w:val="28"/>
          <w:u w:val="single"/>
          <w:lang w:val="en-US" w:eastAsia="zh-CN"/>
        </w:rPr>
        <w:t>XXXXXXXXXXXXX</w:t>
      </w:r>
      <w:r>
        <w:rPr>
          <w:rFonts w:hint="eastAsia"/>
          <w:sz w:val="28"/>
          <w:szCs w:val="28"/>
          <w:u w:val="single"/>
        </w:rPr>
        <w:t xml:space="preserve">审计（一审）                       </w:t>
      </w:r>
    </w:p>
    <w:p w14:paraId="7C126237">
      <w:pPr>
        <w:spacing w:line="720" w:lineRule="exact"/>
        <w:rPr>
          <w:sz w:val="28"/>
          <w:szCs w:val="28"/>
          <w:u w:val="single"/>
        </w:rPr>
      </w:pPr>
      <w:r>
        <w:rPr>
          <w:rFonts w:hint="eastAsia" w:ascii="黑体" w:hAnsi="黑体" w:eastAsia="黑体" w:cs="黑体"/>
          <w:sz w:val="28"/>
          <w:szCs w:val="28"/>
        </w:rPr>
        <w:t>建 设 地 点：</w:t>
      </w:r>
      <w:r>
        <w:rPr>
          <w:rFonts w:hint="eastAsia" w:ascii="宋体" w:hAnsi="宋体"/>
          <w:sz w:val="28"/>
          <w:szCs w:val="28"/>
          <w:u w:val="single"/>
        </w:rPr>
        <w:t xml:space="preserve">                                                    </w:t>
      </w:r>
    </w:p>
    <w:p w14:paraId="684EDA47">
      <w:pPr>
        <w:spacing w:line="720" w:lineRule="exact"/>
        <w:rPr>
          <w:sz w:val="28"/>
          <w:szCs w:val="28"/>
          <w:u w:val="single"/>
        </w:rPr>
      </w:pPr>
      <w:r>
        <w:rPr>
          <w:rFonts w:hint="eastAsia" w:ascii="黑体" w:hAnsi="黑体" w:eastAsia="黑体" w:cs="黑体"/>
          <w:sz w:val="28"/>
          <w:szCs w:val="28"/>
        </w:rPr>
        <w:t>合 同 编 号：</w:t>
      </w:r>
      <w:r>
        <w:rPr>
          <w:rFonts w:hint="eastAsia"/>
          <w:u w:val="single"/>
        </w:rPr>
        <w:t xml:space="preserve">                                                                      </w:t>
      </w:r>
    </w:p>
    <w:p w14:paraId="3418D133">
      <w:pPr>
        <w:spacing w:line="720" w:lineRule="exact"/>
        <w:rPr>
          <w:sz w:val="28"/>
          <w:szCs w:val="28"/>
          <w:u w:val="single"/>
        </w:rPr>
      </w:pPr>
      <w:r>
        <w:rPr>
          <w:rFonts w:hint="eastAsia" w:ascii="黑体" w:hAnsi="黑体" w:eastAsia="黑体" w:cs="黑体"/>
          <w:sz w:val="28"/>
          <w:szCs w:val="28"/>
        </w:rPr>
        <w:t>咨 询 类 型：</w:t>
      </w:r>
      <w:r>
        <w:rPr>
          <w:rFonts w:hint="eastAsia"/>
          <w:sz w:val="28"/>
          <w:szCs w:val="28"/>
          <w:u w:val="single"/>
        </w:rPr>
        <w:t xml:space="preserve">全过程跟踪审计及竣工结算审核 </w:t>
      </w:r>
      <w:r>
        <w:rPr>
          <w:rFonts w:hint="eastAsia"/>
          <w:sz w:val="24"/>
          <w:u w:val="single"/>
        </w:rPr>
        <w:t xml:space="preserve">  </w:t>
      </w:r>
      <w:r>
        <w:rPr>
          <w:rFonts w:hint="eastAsia"/>
          <w:sz w:val="28"/>
          <w:szCs w:val="28"/>
          <w:u w:val="single"/>
        </w:rPr>
        <w:t xml:space="preserve">                          </w:t>
      </w:r>
    </w:p>
    <w:p w14:paraId="371E7196"/>
    <w:p w14:paraId="25F85C17"/>
    <w:p w14:paraId="43F1949B"/>
    <w:p w14:paraId="25DEC545"/>
    <w:p w14:paraId="6E429C10"/>
    <w:p w14:paraId="0C6A1444"/>
    <w:p w14:paraId="5C983152"/>
    <w:p w14:paraId="55A8EE9B"/>
    <w:p w14:paraId="4CD685A7"/>
    <w:p w14:paraId="5CD22D3C"/>
    <w:p w14:paraId="061E4146"/>
    <w:p w14:paraId="51BAD22D"/>
    <w:p w14:paraId="071DE796"/>
    <w:p w14:paraId="214A13CD"/>
    <w:p w14:paraId="31E65CB1"/>
    <w:tbl>
      <w:tblPr>
        <w:tblStyle w:val="43"/>
        <w:tblW w:w="0" w:type="auto"/>
        <w:jc w:val="center"/>
        <w:tblLayout w:type="fixed"/>
        <w:tblCellMar>
          <w:top w:w="0" w:type="dxa"/>
          <w:left w:w="108" w:type="dxa"/>
          <w:bottom w:w="0" w:type="dxa"/>
          <w:right w:w="108" w:type="dxa"/>
        </w:tblCellMar>
      </w:tblPr>
      <w:tblGrid>
        <w:gridCol w:w="3348"/>
        <w:gridCol w:w="1080"/>
      </w:tblGrid>
      <w:tr w14:paraId="2F846CC8">
        <w:tblPrEx>
          <w:tblCellMar>
            <w:top w:w="0" w:type="dxa"/>
            <w:left w:w="108" w:type="dxa"/>
            <w:bottom w:w="0" w:type="dxa"/>
            <w:right w:w="108" w:type="dxa"/>
          </w:tblCellMar>
        </w:tblPrEx>
        <w:trPr>
          <w:trHeight w:val="451" w:hRule="atLeast"/>
          <w:jc w:val="center"/>
        </w:trPr>
        <w:tc>
          <w:tcPr>
            <w:tcW w:w="3348" w:type="dxa"/>
            <w:vAlign w:val="center"/>
          </w:tcPr>
          <w:p w14:paraId="6D7EB522">
            <w:pPr>
              <w:jc w:val="center"/>
            </w:pPr>
            <w:r>
              <w:rPr>
                <w:rFonts w:hint="eastAsia"/>
                <w:sz w:val="28"/>
                <w:szCs w:val="28"/>
              </w:rPr>
              <w:t>江苏省住房和城乡建设厅</w:t>
            </w:r>
          </w:p>
        </w:tc>
        <w:tc>
          <w:tcPr>
            <w:tcW w:w="1080" w:type="dxa"/>
            <w:vMerge w:val="restart"/>
            <w:vAlign w:val="center"/>
          </w:tcPr>
          <w:p w14:paraId="30F7DA74">
            <w:pPr>
              <w:jc w:val="center"/>
              <w:rPr>
                <w:sz w:val="32"/>
                <w:szCs w:val="32"/>
              </w:rPr>
            </w:pPr>
            <w:r>
              <w:rPr>
                <w:rFonts w:hint="eastAsia"/>
                <w:sz w:val="32"/>
                <w:szCs w:val="32"/>
              </w:rPr>
              <w:t>制定</w:t>
            </w:r>
          </w:p>
        </w:tc>
      </w:tr>
      <w:tr w14:paraId="6ECB7641">
        <w:tblPrEx>
          <w:tblCellMar>
            <w:top w:w="0" w:type="dxa"/>
            <w:left w:w="108" w:type="dxa"/>
            <w:bottom w:w="0" w:type="dxa"/>
            <w:right w:w="108" w:type="dxa"/>
          </w:tblCellMar>
        </w:tblPrEx>
        <w:trPr>
          <w:jc w:val="center"/>
        </w:trPr>
        <w:tc>
          <w:tcPr>
            <w:tcW w:w="3348" w:type="dxa"/>
            <w:vAlign w:val="center"/>
          </w:tcPr>
          <w:p w14:paraId="064E09EE">
            <w:pPr>
              <w:jc w:val="center"/>
            </w:pPr>
            <w:r>
              <w:rPr>
                <w:rFonts w:hint="eastAsia"/>
                <w:spacing w:val="12"/>
                <w:sz w:val="28"/>
                <w:szCs w:val="28"/>
              </w:rPr>
              <w:t>江苏省工商行政管理</w:t>
            </w:r>
            <w:r>
              <w:rPr>
                <w:rFonts w:hint="eastAsia"/>
                <w:sz w:val="28"/>
                <w:szCs w:val="28"/>
              </w:rPr>
              <w:t>局</w:t>
            </w:r>
          </w:p>
        </w:tc>
        <w:tc>
          <w:tcPr>
            <w:tcW w:w="1080" w:type="dxa"/>
            <w:vMerge w:val="continue"/>
            <w:vAlign w:val="center"/>
          </w:tcPr>
          <w:p w14:paraId="7ADF97B2">
            <w:pPr>
              <w:jc w:val="center"/>
            </w:pPr>
          </w:p>
        </w:tc>
      </w:tr>
    </w:tbl>
    <w:p w14:paraId="0E849FB7"/>
    <w:p w14:paraId="10EFEBF3">
      <w:pPr>
        <w:widowControl/>
        <w:jc w:val="left"/>
        <w:rPr>
          <w:rFonts w:ascii="黑体" w:eastAsia="黑体"/>
          <w:sz w:val="30"/>
          <w:szCs w:val="30"/>
        </w:rPr>
      </w:pPr>
      <w:bookmarkStart w:id="478" w:name="_Toc14675"/>
      <w:r>
        <w:rPr>
          <w:rFonts w:ascii="黑体" w:eastAsia="黑体"/>
          <w:sz w:val="30"/>
          <w:szCs w:val="30"/>
        </w:rPr>
        <w:br w:type="page"/>
      </w:r>
    </w:p>
    <w:p w14:paraId="0AFD33F9">
      <w:pPr>
        <w:ind w:firstLine="1800" w:firstLineChars="600"/>
        <w:rPr>
          <w:rFonts w:ascii="黑体" w:eastAsia="黑体"/>
          <w:sz w:val="30"/>
          <w:szCs w:val="30"/>
        </w:rPr>
      </w:pPr>
    </w:p>
    <w:bookmarkEnd w:id="478"/>
    <w:p w14:paraId="41211485">
      <w:pPr>
        <w:jc w:val="center"/>
        <w:rPr>
          <w:rFonts w:hint="eastAsia" w:ascii="黑体" w:hAnsi="黑体" w:eastAsia="黑体" w:cs="黑体"/>
          <w:b/>
          <w:sz w:val="44"/>
          <w:szCs w:val="44"/>
          <w:highlight w:val="none"/>
        </w:rPr>
      </w:pPr>
      <w:bookmarkStart w:id="479" w:name="_Toc28108"/>
      <w:r>
        <w:rPr>
          <w:rFonts w:hint="eastAsia" w:ascii="黑体" w:hAnsi="黑体" w:eastAsia="黑体" w:cs="黑体"/>
          <w:b/>
          <w:sz w:val="44"/>
          <w:szCs w:val="44"/>
          <w:highlight w:val="none"/>
          <w:u w:val="single"/>
          <w:lang w:val="en-US" w:eastAsia="zh-CN"/>
        </w:rPr>
        <w:t>XXXXXXXXXXXXXXXXXXXXXXXXX</w:t>
      </w:r>
      <w:r>
        <w:rPr>
          <w:rFonts w:hint="eastAsia" w:ascii="黑体" w:hAnsi="黑体" w:eastAsia="黑体" w:cs="黑体"/>
          <w:b/>
          <w:sz w:val="44"/>
          <w:szCs w:val="44"/>
          <w:highlight w:val="none"/>
        </w:rPr>
        <w:t>工程</w:t>
      </w:r>
      <w:r>
        <w:rPr>
          <w:rFonts w:hint="eastAsia" w:ascii="黑体" w:hAnsi="黑体" w:eastAsia="黑体" w:cs="黑体"/>
          <w:b/>
          <w:sz w:val="44"/>
          <w:szCs w:val="44"/>
          <w:highlight w:val="none"/>
          <w:u w:val="single"/>
          <w:lang w:val="en-US" w:eastAsia="zh-CN"/>
        </w:rPr>
        <w:t>XXXXXX</w:t>
      </w:r>
      <w:r>
        <w:rPr>
          <w:rFonts w:hint="default" w:ascii="黑体" w:hAnsi="黑体" w:eastAsia="黑体" w:cs="黑体"/>
          <w:b/>
          <w:sz w:val="44"/>
          <w:szCs w:val="44"/>
          <w:highlight w:val="none"/>
        </w:rPr>
        <w:t>标段</w:t>
      </w:r>
      <w:r>
        <w:rPr>
          <w:rFonts w:hint="default" w:ascii="黑体" w:hAnsi="黑体" w:eastAsia="黑体" w:cs="黑体"/>
          <w:b/>
          <w:sz w:val="44"/>
          <w:szCs w:val="44"/>
          <w:highlight w:val="none"/>
          <w:u w:val="single"/>
          <w:lang w:val="en-US" w:eastAsia="zh-CN"/>
        </w:rPr>
        <w:t>跟踪审计/结算一审/结算二审</w:t>
      </w:r>
      <w:r>
        <w:rPr>
          <w:rFonts w:hint="eastAsia" w:ascii="黑体" w:hAnsi="黑体" w:eastAsia="黑体" w:cs="黑体"/>
          <w:b/>
          <w:sz w:val="44"/>
          <w:szCs w:val="44"/>
          <w:highlight w:val="none"/>
        </w:rPr>
        <w:t>造价咨询合同</w:t>
      </w:r>
    </w:p>
    <w:p w14:paraId="0072F04F">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olor w:val="000000"/>
          <w:sz w:val="30"/>
          <w:szCs w:val="30"/>
          <w:highlight w:val="none"/>
        </w:rPr>
      </w:pPr>
      <w:r>
        <w:rPr>
          <w:rFonts w:hint="eastAsia" w:ascii="Times New Roman" w:hAnsi="Times New Roman" w:eastAsia="黑体"/>
          <w:color w:val="000000"/>
          <w:sz w:val="30"/>
          <w:szCs w:val="30"/>
          <w:highlight w:val="none"/>
        </w:rPr>
        <w:t>第一部分</w:t>
      </w:r>
      <w:r>
        <w:rPr>
          <w:rFonts w:hint="eastAsia" w:ascii="Times New Roman" w:hAnsi="Times New Roman" w:eastAsia="黑体"/>
          <w:color w:val="000000"/>
          <w:sz w:val="30"/>
          <w:szCs w:val="30"/>
          <w:highlight w:val="none"/>
          <w:lang w:eastAsia="zh-CN"/>
        </w:rPr>
        <w:t xml:space="preserve"> </w:t>
      </w:r>
      <w:r>
        <w:rPr>
          <w:rFonts w:hint="eastAsia" w:ascii="Times New Roman" w:hAnsi="Times New Roman" w:eastAsia="黑体"/>
          <w:color w:val="000000"/>
          <w:sz w:val="30"/>
          <w:szCs w:val="30"/>
          <w:highlight w:val="none"/>
        </w:rPr>
        <w:t>协议书</w:t>
      </w:r>
    </w:p>
    <w:p w14:paraId="711B03CD">
      <w:pPr>
        <w:spacing w:line="360" w:lineRule="auto"/>
        <w:ind w:left="0" w:leftChars="0" w:firstLine="480" w:firstLineChars="200"/>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委托人：</w:t>
      </w:r>
      <w:r>
        <w:rPr>
          <w:rFonts w:hint="eastAsia" w:ascii="宋体" w:hAnsi="宋体" w:eastAsia="宋体" w:cs="宋体"/>
          <w:color w:val="000000"/>
          <w:sz w:val="24"/>
          <w:highlight w:val="none"/>
          <w:u w:val="single"/>
          <w:lang w:val="en-US" w:eastAsia="zh-CN"/>
        </w:rPr>
        <w:t>江苏苏海投资集团有限公司</w:t>
      </w:r>
      <w:r>
        <w:rPr>
          <w:rFonts w:hint="eastAsia" w:ascii="宋体" w:hAnsi="宋体" w:eastAsia="宋体" w:cs="宋体"/>
          <w:color w:val="000000"/>
          <w:sz w:val="24"/>
          <w:highlight w:val="none"/>
          <w:u w:val="single"/>
          <w:lang w:eastAsia="zh-CN"/>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lang w:eastAsia="zh-CN"/>
        </w:rPr>
        <w:t xml:space="preserve">    </w:t>
      </w:r>
    </w:p>
    <w:p w14:paraId="3235C3B4">
      <w:pPr>
        <w:spacing w:line="360" w:lineRule="auto"/>
        <w:ind w:left="0" w:leftChars="0" w:firstLine="480" w:firstLineChars="200"/>
        <w:rPr>
          <w:rFonts w:hint="eastAsia" w:ascii="宋体" w:hAnsi="宋体" w:eastAsia="宋体" w:cs="宋体"/>
          <w:color w:val="000000"/>
          <w:sz w:val="24"/>
          <w:highlight w:val="none"/>
          <w:u w:val="single"/>
          <w:lang w:eastAsia="zh-CN"/>
        </w:rPr>
      </w:pPr>
      <w:r>
        <w:rPr>
          <w:rFonts w:hint="eastAsia" w:ascii="宋体" w:hAnsi="宋体" w:eastAsia="宋体" w:cs="宋体"/>
          <w:color w:val="000000"/>
          <w:sz w:val="24"/>
          <w:highlight w:val="none"/>
        </w:rPr>
        <w:t>咨询人：</w:t>
      </w:r>
      <w:r>
        <w:rPr>
          <w:rFonts w:hint="eastAsia" w:ascii="宋体" w:hAnsi="宋体" w:eastAsia="宋体" w:cs="宋体"/>
          <w:color w:val="000000"/>
          <w:sz w:val="24"/>
          <w:highlight w:val="none"/>
          <w:u w:val="single"/>
          <w:lang w:eastAsia="zh-CN"/>
        </w:rPr>
        <w:t xml:space="preserve">                        </w:t>
      </w:r>
      <w:r>
        <w:rPr>
          <w:rFonts w:hint="eastAsia" w:ascii="宋体" w:hAnsi="宋体" w:eastAsia="宋体" w:cs="宋体"/>
          <w:color w:val="000000"/>
          <w:sz w:val="24"/>
          <w:highlight w:val="none"/>
          <w:u w:val="single"/>
          <w:lang w:val="en-US" w:eastAsia="zh-CN"/>
        </w:rPr>
        <w:t xml:space="preserve">                                      </w:t>
      </w:r>
    </w:p>
    <w:p w14:paraId="1D1A22E3">
      <w:pPr>
        <w:spacing w:line="360" w:lineRule="auto"/>
        <w:ind w:left="0" w:leftChars="0"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依据《中华人民共和国</w:t>
      </w:r>
      <w:r>
        <w:rPr>
          <w:rFonts w:hint="eastAsia" w:ascii="宋体" w:hAnsi="宋体" w:eastAsia="宋体" w:cs="宋体"/>
          <w:color w:val="000000"/>
          <w:sz w:val="24"/>
          <w:highlight w:val="none"/>
          <w:lang w:eastAsia="zh-CN"/>
        </w:rPr>
        <w:t>民法典</w:t>
      </w:r>
      <w:r>
        <w:rPr>
          <w:rFonts w:hint="eastAsia" w:ascii="宋体" w:hAnsi="宋体" w:eastAsia="宋体" w:cs="宋体"/>
          <w:color w:val="000000"/>
          <w:sz w:val="24"/>
          <w:highlight w:val="none"/>
        </w:rPr>
        <w:t>》及工程造价相关管理规定，经过双方协商一致，签订本工程造价咨询合同。</w:t>
      </w:r>
    </w:p>
    <w:p w14:paraId="1DBB2DA4">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一、委托人委托咨询人为以下项目提供建设工程造价咨询服务：</w:t>
      </w:r>
    </w:p>
    <w:p w14:paraId="22B811F5">
      <w:pPr>
        <w:spacing w:line="360" w:lineRule="auto"/>
        <w:ind w:left="0" w:leftChars="0" w:firstLine="480" w:firstLineChars="200"/>
        <w:rPr>
          <w:rFonts w:hint="default" w:ascii="宋体" w:hAnsi="宋体" w:eastAsia="宋体" w:cs="宋体"/>
          <w:b w:val="0"/>
          <w:bCs w:val="0"/>
          <w:color w:val="000000"/>
          <w:sz w:val="24"/>
          <w:highlight w:val="none"/>
          <w:u w:val="none"/>
          <w:lang w:val="en-US" w:eastAsia="zh-CN"/>
        </w:rPr>
      </w:pPr>
      <w:r>
        <w:rPr>
          <w:rFonts w:hint="eastAsia" w:ascii="宋体" w:hAnsi="宋体" w:eastAsia="宋体" w:cs="宋体"/>
          <w:b w:val="0"/>
          <w:bCs w:val="0"/>
          <w:color w:val="000000"/>
          <w:sz w:val="24"/>
          <w:highlight w:val="none"/>
          <w:u w:val="none"/>
        </w:rPr>
        <w:t>1．项目</w:t>
      </w:r>
      <w:r>
        <w:rPr>
          <w:rFonts w:hint="default" w:ascii="宋体" w:hAnsi="宋体" w:eastAsia="宋体" w:cs="宋体"/>
          <w:b w:val="0"/>
          <w:bCs w:val="0"/>
          <w:color w:val="000000"/>
          <w:sz w:val="24"/>
          <w:highlight w:val="none"/>
          <w:u w:val="none"/>
        </w:rPr>
        <w:t>及</w:t>
      </w:r>
      <w:r>
        <w:rPr>
          <w:rFonts w:hint="eastAsia" w:ascii="宋体" w:hAnsi="宋体" w:eastAsia="宋体" w:cs="宋体"/>
          <w:b w:val="0"/>
          <w:bCs w:val="0"/>
          <w:color w:val="000000"/>
          <w:sz w:val="24"/>
          <w:highlight w:val="none"/>
          <w:u w:val="none"/>
          <w:lang w:val="en-US" w:eastAsia="zh-CN"/>
        </w:rPr>
        <w:t>标段</w:t>
      </w:r>
      <w:r>
        <w:rPr>
          <w:rFonts w:hint="eastAsia" w:ascii="宋体" w:hAnsi="宋体" w:eastAsia="宋体" w:cs="宋体"/>
          <w:b w:val="0"/>
          <w:bCs w:val="0"/>
          <w:color w:val="000000"/>
          <w:sz w:val="24"/>
          <w:highlight w:val="none"/>
          <w:u w:val="none"/>
        </w:rPr>
        <w:t>名称：</w:t>
      </w:r>
      <w:r>
        <w:rPr>
          <w:rFonts w:hint="eastAsia" w:ascii="宋体" w:hAnsi="宋体" w:eastAsia="宋体" w:cs="宋体"/>
          <w:b w:val="0"/>
          <w:bCs w:val="0"/>
          <w:color w:val="000000"/>
          <w:sz w:val="24"/>
          <w:highlight w:val="none"/>
          <w:u w:val="single"/>
          <w:lang w:val="en-US" w:eastAsia="zh-CN"/>
        </w:rPr>
        <w:t xml:space="preserve">                           </w:t>
      </w:r>
    </w:p>
    <w:p w14:paraId="6923FDBE">
      <w:pPr>
        <w:spacing w:line="360" w:lineRule="auto"/>
        <w:ind w:left="0" w:leftChars="0" w:firstLine="480" w:firstLineChars="200"/>
        <w:rPr>
          <w:rFonts w:hint="default" w:ascii="宋体" w:hAnsi="宋体" w:eastAsia="宋体" w:cs="宋体"/>
          <w:b w:val="0"/>
          <w:bCs w:val="0"/>
          <w:color w:val="000000"/>
          <w:sz w:val="24"/>
          <w:highlight w:val="none"/>
          <w:u w:val="none"/>
          <w:lang w:val="en-US" w:eastAsia="zh-CN"/>
        </w:rPr>
      </w:pPr>
      <w:r>
        <w:rPr>
          <w:rFonts w:hint="eastAsia" w:ascii="宋体" w:hAnsi="宋体" w:eastAsia="宋体" w:cs="宋体"/>
          <w:b w:val="0"/>
          <w:bCs w:val="0"/>
          <w:color w:val="000000"/>
          <w:sz w:val="24"/>
          <w:highlight w:val="none"/>
          <w:u w:val="none"/>
        </w:rPr>
        <w:t>2．建设地点：</w:t>
      </w:r>
      <w:r>
        <w:rPr>
          <w:rFonts w:hint="eastAsia" w:ascii="宋体" w:hAnsi="宋体" w:eastAsia="宋体" w:cs="宋体"/>
          <w:b w:val="0"/>
          <w:bCs w:val="0"/>
          <w:color w:val="000000"/>
          <w:sz w:val="24"/>
          <w:highlight w:val="none"/>
          <w:u w:val="single"/>
          <w:lang w:val="en-US" w:eastAsia="zh-CN"/>
        </w:rPr>
        <w:t xml:space="preserve">                                 </w:t>
      </w:r>
    </w:p>
    <w:p w14:paraId="4F6C37E7">
      <w:pPr>
        <w:spacing w:line="360" w:lineRule="auto"/>
        <w:ind w:left="0" w:leftChars="0" w:firstLine="480" w:firstLineChars="200"/>
        <w:rPr>
          <w:rFonts w:hint="eastAsia" w:ascii="宋体" w:hAnsi="宋体" w:eastAsia="宋体" w:cs="宋体"/>
          <w:b w:val="0"/>
          <w:bCs w:val="0"/>
          <w:color w:val="000000"/>
          <w:sz w:val="24"/>
          <w:highlight w:val="none"/>
          <w:u w:val="none"/>
          <w:lang w:val="en-US" w:eastAsia="zh-CN"/>
        </w:rPr>
      </w:pPr>
      <w:r>
        <w:rPr>
          <w:rFonts w:hint="eastAsia" w:ascii="宋体" w:hAnsi="宋体" w:eastAsia="宋体" w:cs="宋体"/>
          <w:b w:val="0"/>
          <w:bCs w:val="0"/>
          <w:color w:val="000000"/>
          <w:sz w:val="24"/>
          <w:highlight w:val="none"/>
          <w:u w:val="none"/>
          <w:lang w:val="en-US" w:eastAsia="zh-CN"/>
        </w:rPr>
        <w:t>3</w:t>
      </w:r>
      <w:r>
        <w:rPr>
          <w:rFonts w:hint="eastAsia" w:ascii="宋体" w:hAnsi="宋体" w:eastAsia="宋体" w:cs="宋体"/>
          <w:b w:val="0"/>
          <w:bCs w:val="0"/>
          <w:color w:val="000000"/>
          <w:sz w:val="24"/>
          <w:highlight w:val="none"/>
          <w:u w:val="none"/>
        </w:rPr>
        <w:t>．</w:t>
      </w:r>
      <w:r>
        <w:rPr>
          <w:rFonts w:hint="eastAsia" w:ascii="宋体" w:hAnsi="宋体" w:eastAsia="宋体" w:cs="宋体"/>
          <w:b w:val="0"/>
          <w:bCs w:val="0"/>
          <w:color w:val="000000"/>
          <w:sz w:val="24"/>
          <w:highlight w:val="none"/>
          <w:u w:val="none"/>
          <w:lang w:val="en-US" w:eastAsia="zh-CN"/>
        </w:rPr>
        <w:t>建设内容</w:t>
      </w:r>
      <w:r>
        <w:rPr>
          <w:rFonts w:hint="eastAsia" w:ascii="宋体" w:hAnsi="宋体" w:eastAsia="宋体" w:cs="宋体"/>
          <w:b w:val="0"/>
          <w:bCs w:val="0"/>
          <w:color w:val="000000"/>
          <w:sz w:val="24"/>
          <w:highlight w:val="none"/>
          <w:u w:val="none"/>
        </w:rPr>
        <w:t>：</w:t>
      </w:r>
      <w:r>
        <w:rPr>
          <w:rFonts w:hint="eastAsia" w:ascii="宋体" w:hAnsi="宋体" w:eastAsia="宋体" w:cs="宋体"/>
          <w:b w:val="0"/>
          <w:bCs w:val="0"/>
          <w:color w:val="000000"/>
          <w:sz w:val="24"/>
          <w:highlight w:val="none"/>
          <w:u w:val="single"/>
          <w:lang w:val="en-US" w:eastAsia="zh-CN"/>
        </w:rPr>
        <w:t xml:space="preserve">                                 </w:t>
      </w:r>
    </w:p>
    <w:p w14:paraId="5E19EE47">
      <w:pPr>
        <w:pStyle w:val="61"/>
        <w:keepNext w:val="0"/>
        <w:keepLines w:val="0"/>
        <w:pageBreakBefore w:val="0"/>
        <w:kinsoku/>
        <w:wordWrap/>
        <w:overflowPunct/>
        <w:topLinePunct w:val="0"/>
        <w:bidi w:val="0"/>
        <w:adjustRightInd/>
        <w:snapToGrid/>
        <w:spacing w:line="360" w:lineRule="auto"/>
        <w:textAlignment w:val="auto"/>
        <w:rPr>
          <w:rFonts w:hint="default"/>
          <w:highlight w:val="none"/>
          <w:lang w:val="en-US" w:eastAsia="zh-CN"/>
        </w:rPr>
      </w:pPr>
      <w:r>
        <w:rPr>
          <w:rFonts w:hint="eastAsia" w:hAnsi="宋体" w:cs="宋体"/>
          <w:b w:val="0"/>
          <w:bCs w:val="0"/>
          <w:color w:val="000000"/>
          <w:sz w:val="24"/>
          <w:highlight w:val="none"/>
          <w:u w:val="none"/>
          <w:lang w:val="en-US" w:eastAsia="zh-CN"/>
        </w:rPr>
        <w:t>4</w:t>
      </w:r>
      <w:r>
        <w:rPr>
          <w:rFonts w:hint="eastAsia" w:ascii="宋体" w:hAnsi="宋体" w:eastAsia="宋体" w:cs="宋体"/>
          <w:b w:val="0"/>
          <w:bCs w:val="0"/>
          <w:color w:val="000000"/>
          <w:sz w:val="24"/>
          <w:highlight w:val="none"/>
          <w:u w:val="none"/>
        </w:rPr>
        <w:t>．</w:t>
      </w:r>
      <w:r>
        <w:rPr>
          <w:rFonts w:hint="eastAsia" w:ascii="宋体" w:hAnsi="宋体" w:eastAsia="宋体" w:cs="宋体"/>
          <w:b w:val="0"/>
          <w:bCs w:val="0"/>
          <w:color w:val="000000"/>
          <w:sz w:val="24"/>
          <w:highlight w:val="none"/>
          <w:u w:val="none"/>
          <w:lang w:val="en-US" w:eastAsia="zh-CN"/>
        </w:rPr>
        <w:t>项目投资额：</w:t>
      </w:r>
      <w:r>
        <w:rPr>
          <w:rFonts w:hint="eastAsia" w:ascii="宋体" w:hAnsi="宋体" w:eastAsia="宋体" w:cs="宋体"/>
          <w:b w:val="0"/>
          <w:bCs w:val="0"/>
          <w:color w:val="000000"/>
          <w:sz w:val="24"/>
          <w:highlight w:val="none"/>
          <w:u w:val="single"/>
          <w:lang w:val="en-US" w:eastAsia="zh-CN"/>
        </w:rPr>
        <w:t xml:space="preserve">                      </w:t>
      </w:r>
      <w:r>
        <w:rPr>
          <w:rFonts w:hint="eastAsia" w:hAnsi="宋体" w:cs="宋体"/>
          <w:b w:val="0"/>
          <w:bCs w:val="0"/>
          <w:color w:val="000000"/>
          <w:sz w:val="24"/>
          <w:highlight w:val="none"/>
          <w:u w:val="single"/>
          <w:lang w:val="en-US" w:eastAsia="zh-CN"/>
        </w:rPr>
        <w:t xml:space="preserve">    </w:t>
      </w:r>
      <w:r>
        <w:rPr>
          <w:rFonts w:hint="eastAsia" w:ascii="宋体" w:hAnsi="宋体" w:eastAsia="宋体" w:cs="宋体"/>
          <w:b w:val="0"/>
          <w:bCs w:val="0"/>
          <w:color w:val="000000"/>
          <w:sz w:val="24"/>
          <w:highlight w:val="none"/>
          <w:u w:val="single"/>
          <w:lang w:val="en-US" w:eastAsia="zh-CN"/>
        </w:rPr>
        <w:t xml:space="preserve">     </w:t>
      </w:r>
    </w:p>
    <w:p w14:paraId="0E4ECB87">
      <w:pPr>
        <w:keepNext w:val="0"/>
        <w:keepLines w:val="0"/>
        <w:pageBreakBefore w:val="0"/>
        <w:kinsoku/>
        <w:wordWrap/>
        <w:overflowPunct/>
        <w:topLinePunct w:val="0"/>
        <w:bidi w:val="0"/>
        <w:adjustRightInd/>
        <w:snapToGrid/>
        <w:spacing w:line="360" w:lineRule="auto"/>
        <w:ind w:left="0" w:leftChars="0" w:firstLine="480" w:firstLineChars="200"/>
        <w:textAlignment w:val="auto"/>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二、本协议书的措词和用语与所属建设工程造价咨询合同通用条款赋予的定义相同。</w:t>
      </w:r>
    </w:p>
    <w:p w14:paraId="111D6FC0">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三、本合同的组成部分及解释顺序为：</w:t>
      </w:r>
    </w:p>
    <w:p w14:paraId="139DC29D">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1．建设工程造价咨询协议书；</w:t>
      </w:r>
    </w:p>
    <w:p w14:paraId="173A8472">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2．建设工程造价咨询合同专用条款；</w:t>
      </w:r>
    </w:p>
    <w:p w14:paraId="078551C0">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3．建设工程造价咨询合同通用条款；</w:t>
      </w:r>
    </w:p>
    <w:p w14:paraId="19AB4DAD">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4．建设工程造价咨询合同履行中共同签署的补充文件；</w:t>
      </w:r>
    </w:p>
    <w:p w14:paraId="12BBB6D3">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5</w:t>
      </w:r>
      <w:r>
        <w:rPr>
          <w:rFonts w:hint="eastAsia" w:ascii="宋体" w:hAnsi="宋体" w:eastAsia="宋体" w:cs="宋体"/>
          <w:b w:val="0"/>
          <w:bCs w:val="0"/>
          <w:color w:val="000000"/>
          <w:sz w:val="24"/>
          <w:highlight w:val="none"/>
          <w:lang w:val="en-US" w:eastAsia="zh-CN"/>
        </w:rPr>
        <w:t>．</w:t>
      </w:r>
      <w:r>
        <w:rPr>
          <w:rFonts w:hint="eastAsia" w:ascii="宋体" w:hAnsi="宋体" w:eastAsia="宋体" w:cs="宋体"/>
          <w:b w:val="0"/>
          <w:bCs w:val="0"/>
          <w:color w:val="000000"/>
          <w:sz w:val="24"/>
          <w:highlight w:val="none"/>
        </w:rPr>
        <w:t>通过招标方式获得咨询业务的，还包括下列资料：</w:t>
      </w:r>
    </w:p>
    <w:p w14:paraId="76065283">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（1）招标文件；</w:t>
      </w:r>
    </w:p>
    <w:p w14:paraId="3BC8375F">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（2）投标书及其附件；</w:t>
      </w:r>
    </w:p>
    <w:p w14:paraId="052B9A59">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（3）中标通知书。</w:t>
      </w:r>
    </w:p>
    <w:p w14:paraId="0429358A">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四、咨询人同意按照本合同的约定，承担本合同专用条款中约定范围内的建设工程造价咨询业务。</w:t>
      </w:r>
    </w:p>
    <w:p w14:paraId="0741E9D4">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五、委托人同意按照专用条款中约定的期限、方式、币种和额度向咨询人支付酬金。</w:t>
      </w:r>
    </w:p>
    <w:p w14:paraId="387DB173">
      <w:pPr>
        <w:spacing w:line="360" w:lineRule="auto"/>
        <w:ind w:left="0" w:leftChars="0"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六、本合同的建设工程造价咨询业务自</w:t>
      </w:r>
      <w:r>
        <w:rPr>
          <w:rFonts w:hint="eastAsia" w:ascii="宋体" w:hAnsi="宋体" w:eastAsia="宋体" w:cs="宋体"/>
          <w:b w:val="0"/>
          <w:bCs w:val="0"/>
          <w:color w:val="000000"/>
          <w:sz w:val="24"/>
          <w:highlight w:val="none"/>
          <w:lang w:val="en-US" w:eastAsia="zh-CN"/>
        </w:rPr>
        <w:t>合同签订之</w:t>
      </w:r>
      <w:r>
        <w:rPr>
          <w:rFonts w:hint="eastAsia" w:ascii="宋体" w:hAnsi="宋体" w:eastAsia="宋体" w:cs="宋体"/>
          <w:b w:val="0"/>
          <w:bCs w:val="0"/>
          <w:color w:val="000000"/>
          <w:sz w:val="24"/>
          <w:highlight w:val="none"/>
        </w:rPr>
        <w:t>日</w:t>
      </w:r>
      <w:r>
        <w:rPr>
          <w:rFonts w:hint="eastAsia" w:ascii="宋体" w:hAnsi="宋体" w:eastAsia="宋体" w:cs="宋体"/>
          <w:b w:val="0"/>
          <w:bCs w:val="0"/>
          <w:color w:val="000000"/>
          <w:sz w:val="24"/>
          <w:highlight w:val="none"/>
          <w:lang w:val="en-US" w:eastAsia="zh-CN"/>
        </w:rPr>
        <w:t>起</w:t>
      </w:r>
      <w:r>
        <w:rPr>
          <w:rFonts w:hint="eastAsia" w:ascii="宋体" w:hAnsi="宋体" w:eastAsia="宋体" w:cs="宋体"/>
          <w:b w:val="0"/>
          <w:bCs w:val="0"/>
          <w:color w:val="000000"/>
          <w:sz w:val="24"/>
          <w:highlight w:val="none"/>
        </w:rPr>
        <w:t>开始实施，至</w:t>
      </w:r>
      <w:r>
        <w:rPr>
          <w:rFonts w:hint="eastAsia" w:ascii="宋体" w:hAnsi="宋体" w:eastAsia="宋体" w:cs="宋体"/>
          <w:b w:val="0"/>
          <w:bCs w:val="0"/>
          <w:color w:val="000000"/>
          <w:sz w:val="24"/>
          <w:highlight w:val="none"/>
          <w:lang w:val="en-US" w:eastAsia="zh-CN"/>
        </w:rPr>
        <w:t>完成合同约定内容后</w:t>
      </w:r>
      <w:r>
        <w:rPr>
          <w:rFonts w:hint="eastAsia" w:ascii="宋体" w:hAnsi="宋体" w:eastAsia="宋体" w:cs="宋体"/>
          <w:b w:val="0"/>
          <w:bCs w:val="0"/>
          <w:color w:val="000000"/>
          <w:sz w:val="24"/>
          <w:highlight w:val="none"/>
        </w:rPr>
        <w:t>终结。若委托人提供咨询资料延后则时间相应顺延，若增加工作内容具体完成时间另行约定。</w:t>
      </w:r>
    </w:p>
    <w:p w14:paraId="3D298FC1">
      <w:pPr>
        <w:spacing w:line="360" w:lineRule="auto"/>
        <w:ind w:left="0" w:leftChars="0" w:firstLine="480" w:firstLineChars="200"/>
        <w:rPr>
          <w:rFonts w:hint="eastAsia" w:ascii="宋体" w:hAnsi="宋体" w:eastAsia="宋体" w:cs="宋体"/>
          <w:b w:val="0"/>
          <w:bCs w:val="0"/>
          <w:color w:val="000000"/>
          <w:sz w:val="24"/>
          <w:highlight w:val="none"/>
          <w:lang w:eastAsia="zh-CN"/>
        </w:rPr>
      </w:pPr>
      <w:r>
        <w:rPr>
          <w:rFonts w:hint="eastAsia" w:ascii="宋体" w:hAnsi="宋体" w:eastAsia="宋体" w:cs="宋体"/>
          <w:b w:val="0"/>
          <w:bCs w:val="0"/>
          <w:color w:val="000000"/>
          <w:sz w:val="24"/>
          <w:highlight w:val="none"/>
        </w:rPr>
        <w:t>七、本合同正本</w:t>
      </w:r>
      <w:r>
        <w:rPr>
          <w:rFonts w:hint="eastAsia" w:ascii="宋体" w:hAnsi="宋体" w:eastAsia="宋体" w:cs="宋体"/>
          <w:b w:val="0"/>
          <w:bCs w:val="0"/>
          <w:color w:val="000000"/>
          <w:sz w:val="24"/>
          <w:highlight w:val="none"/>
          <w:u w:val="single"/>
          <w:lang w:val="en-US" w:eastAsia="zh-CN"/>
        </w:rPr>
        <w:t>捌</w:t>
      </w:r>
      <w:r>
        <w:rPr>
          <w:rFonts w:hint="eastAsia" w:ascii="宋体" w:hAnsi="宋体" w:eastAsia="宋体" w:cs="宋体"/>
          <w:b w:val="0"/>
          <w:bCs w:val="0"/>
          <w:color w:val="000000"/>
          <w:sz w:val="24"/>
          <w:highlight w:val="none"/>
        </w:rPr>
        <w:t>份，委托人执</w:t>
      </w:r>
      <w:r>
        <w:rPr>
          <w:rFonts w:hint="eastAsia" w:ascii="宋体" w:hAnsi="宋体" w:eastAsia="宋体" w:cs="宋体"/>
          <w:b w:val="0"/>
          <w:bCs w:val="0"/>
          <w:color w:val="000000"/>
          <w:sz w:val="24"/>
          <w:highlight w:val="none"/>
          <w:u w:val="single"/>
          <w:lang w:val="en-US" w:eastAsia="zh-CN"/>
        </w:rPr>
        <w:t>陆</w:t>
      </w:r>
      <w:r>
        <w:rPr>
          <w:rFonts w:hint="eastAsia" w:ascii="宋体" w:hAnsi="宋体" w:eastAsia="宋体" w:cs="宋体"/>
          <w:b w:val="0"/>
          <w:bCs w:val="0"/>
          <w:color w:val="000000"/>
          <w:sz w:val="24"/>
          <w:highlight w:val="none"/>
        </w:rPr>
        <w:t>份</w:t>
      </w:r>
      <w:r>
        <w:rPr>
          <w:rFonts w:hint="eastAsia" w:ascii="宋体" w:hAnsi="宋体" w:eastAsia="宋体" w:cs="宋体"/>
          <w:b w:val="0"/>
          <w:bCs w:val="0"/>
          <w:color w:val="000000"/>
          <w:sz w:val="24"/>
          <w:highlight w:val="none"/>
          <w:lang w:eastAsia="zh-CN"/>
        </w:rPr>
        <w:t>，</w:t>
      </w:r>
      <w:r>
        <w:rPr>
          <w:rFonts w:hint="eastAsia" w:ascii="宋体" w:hAnsi="宋体" w:eastAsia="宋体" w:cs="宋体"/>
          <w:b w:val="0"/>
          <w:bCs w:val="0"/>
          <w:color w:val="000000"/>
          <w:sz w:val="24"/>
          <w:highlight w:val="none"/>
        </w:rPr>
        <w:t>咨询人执</w:t>
      </w:r>
      <w:r>
        <w:rPr>
          <w:rFonts w:hint="eastAsia" w:ascii="宋体" w:hAnsi="宋体" w:eastAsia="宋体" w:cs="宋体"/>
          <w:b w:val="0"/>
          <w:bCs w:val="0"/>
          <w:color w:val="000000"/>
          <w:sz w:val="24"/>
          <w:highlight w:val="none"/>
          <w:u w:val="single"/>
          <w:lang w:val="en-US" w:eastAsia="zh-CN"/>
        </w:rPr>
        <w:t>贰</w:t>
      </w:r>
      <w:r>
        <w:rPr>
          <w:rFonts w:hint="eastAsia" w:ascii="宋体" w:hAnsi="宋体" w:eastAsia="宋体" w:cs="宋体"/>
          <w:b w:val="0"/>
          <w:bCs w:val="0"/>
          <w:color w:val="000000"/>
          <w:sz w:val="24"/>
          <w:highlight w:val="none"/>
        </w:rPr>
        <w:t>份</w:t>
      </w:r>
      <w:r>
        <w:rPr>
          <w:rFonts w:hint="eastAsia" w:ascii="宋体" w:hAnsi="宋体" w:eastAsia="宋体" w:cs="宋体"/>
          <w:b w:val="0"/>
          <w:bCs w:val="0"/>
          <w:color w:val="000000"/>
          <w:sz w:val="24"/>
          <w:highlight w:val="none"/>
          <w:lang w:eastAsia="zh-CN"/>
        </w:rPr>
        <w:t>。</w:t>
      </w:r>
    </w:p>
    <w:tbl>
      <w:tblPr>
        <w:tblStyle w:val="43"/>
        <w:tblW w:w="86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00"/>
        <w:gridCol w:w="4300"/>
      </w:tblGrid>
      <w:tr w14:paraId="6B837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5" w:hRule="atLeast"/>
          <w:jc w:val="center"/>
        </w:trPr>
        <w:tc>
          <w:tcPr>
            <w:tcW w:w="4300" w:type="dxa"/>
            <w:noWrap w:val="0"/>
            <w:vAlign w:val="center"/>
          </w:tcPr>
          <w:p w14:paraId="324F661B">
            <w:pPr>
              <w:spacing w:after="0" w:line="360" w:lineRule="auto"/>
              <w:jc w:val="both"/>
              <w:rPr>
                <w:rFonts w:hint="eastAsia" w:ascii="宋体" w:hAnsi="宋体" w:eastAsia="宋体" w:cs="宋体"/>
                <w:color w:val="000000"/>
                <w:sz w:val="24"/>
                <w:highlight w:val="none"/>
                <w:vertAlign w:val="baseline"/>
                <w:lang w:val="en-US" w:eastAsia="zh-CN"/>
              </w:rPr>
            </w:pPr>
            <w:r>
              <w:rPr>
                <w:rFonts w:hint="eastAsia" w:ascii="宋体" w:hAnsi="宋体" w:eastAsia="宋体" w:cs="宋体"/>
                <w:color w:val="000000"/>
                <w:sz w:val="24"/>
                <w:highlight w:val="none"/>
                <w:vertAlign w:val="baseline"/>
                <w:lang w:val="en-US" w:eastAsia="zh-CN"/>
              </w:rPr>
              <w:t>委托人：（盖章）</w:t>
            </w:r>
          </w:p>
        </w:tc>
        <w:tc>
          <w:tcPr>
            <w:tcW w:w="4300" w:type="dxa"/>
            <w:noWrap w:val="0"/>
            <w:vAlign w:val="center"/>
          </w:tcPr>
          <w:p w14:paraId="44BF5159">
            <w:pPr>
              <w:keepNext w:val="0"/>
              <w:keepLines w:val="0"/>
              <w:widowControl w:val="0"/>
              <w:suppressLineNumbers w:val="0"/>
              <w:spacing w:before="0" w:beforeAutospacing="0" w:after="0" w:afterAutospacing="0" w:line="360" w:lineRule="auto"/>
              <w:ind w:left="0" w:leftChars="0" w:right="0" w:rightChars="0"/>
              <w:jc w:val="both"/>
              <w:rPr>
                <w:rFonts w:hint="eastAsia" w:ascii="宋体" w:hAnsi="宋体" w:eastAsia="宋体" w:cs="宋体"/>
                <w:color w:val="000000"/>
                <w:sz w:val="24"/>
                <w:highlight w:val="none"/>
                <w:vertAlign w:val="baseline"/>
              </w:rPr>
            </w:pPr>
            <w:r>
              <w:rPr>
                <w:rFonts w:hint="eastAsia" w:ascii="宋体" w:hAnsi="宋体" w:eastAsia="宋体" w:cs="宋体"/>
                <w:color w:val="000000"/>
                <w:kern w:val="2"/>
                <w:sz w:val="24"/>
                <w:szCs w:val="24"/>
                <w:highlight w:val="none"/>
                <w:lang w:val="en-US" w:eastAsia="zh-CN" w:bidi="ar"/>
              </w:rPr>
              <w:t>咨询人：（盖章）</w:t>
            </w:r>
          </w:p>
        </w:tc>
      </w:tr>
      <w:tr w14:paraId="3CEE0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2" w:hRule="atLeast"/>
          <w:jc w:val="center"/>
        </w:trPr>
        <w:tc>
          <w:tcPr>
            <w:tcW w:w="4300" w:type="dxa"/>
            <w:noWrap w:val="0"/>
            <w:vAlign w:val="center"/>
          </w:tcPr>
          <w:p w14:paraId="65D16E8A">
            <w:pPr>
              <w:spacing w:after="0" w:line="360" w:lineRule="auto"/>
              <w:jc w:val="both"/>
              <w:rPr>
                <w:rFonts w:hint="eastAsia" w:ascii="宋体" w:hAnsi="宋体" w:eastAsia="宋体" w:cs="宋体"/>
                <w:color w:val="000000"/>
                <w:sz w:val="24"/>
                <w:highlight w:val="none"/>
                <w:vertAlign w:val="baseline"/>
              </w:rPr>
            </w:pPr>
            <w:r>
              <w:rPr>
                <w:rFonts w:hint="eastAsia" w:ascii="宋体" w:hAnsi="宋体" w:eastAsia="宋体" w:cs="宋体"/>
                <w:color w:val="000000"/>
                <w:sz w:val="24"/>
                <w:highlight w:val="none"/>
                <w:vertAlign w:val="baseline"/>
              </w:rPr>
              <w:t>法定代表人或委托代理人：（签字）</w:t>
            </w:r>
          </w:p>
          <w:p w14:paraId="47473766">
            <w:pPr>
              <w:spacing w:after="0" w:line="360" w:lineRule="auto"/>
              <w:jc w:val="both"/>
              <w:rPr>
                <w:rFonts w:hint="eastAsia" w:ascii="宋体" w:hAnsi="宋体" w:eastAsia="宋体" w:cs="宋体"/>
                <w:color w:val="000000"/>
                <w:sz w:val="24"/>
                <w:highlight w:val="none"/>
                <w:vertAlign w:val="baseline"/>
              </w:rPr>
            </w:pPr>
          </w:p>
        </w:tc>
        <w:tc>
          <w:tcPr>
            <w:tcW w:w="4300" w:type="dxa"/>
            <w:noWrap w:val="0"/>
            <w:vAlign w:val="center"/>
          </w:tcPr>
          <w:p w14:paraId="07DA93CF">
            <w:pPr>
              <w:keepNext w:val="0"/>
              <w:keepLines w:val="0"/>
              <w:widowControl w:val="0"/>
              <w:suppressLineNumbers w:val="0"/>
              <w:spacing w:before="0" w:beforeAutospacing="0" w:after="0" w:afterAutospacing="0" w:line="360" w:lineRule="auto"/>
              <w:ind w:left="0" w:leftChars="0" w:right="0" w:rightChars="0"/>
              <w:jc w:val="both"/>
              <w:rPr>
                <w:rFonts w:hint="eastAsia" w:ascii="宋体" w:hAnsi="宋体" w:eastAsia="宋体" w:cs="宋体"/>
                <w:color w:val="000000"/>
                <w:kern w:val="2"/>
                <w:sz w:val="24"/>
                <w:szCs w:val="24"/>
                <w:highlight w:val="none"/>
                <w:lang w:val="en-US" w:eastAsia="zh-CN" w:bidi="ar"/>
              </w:rPr>
            </w:pPr>
            <w:r>
              <w:rPr>
                <w:rFonts w:hint="eastAsia" w:ascii="宋体" w:hAnsi="宋体" w:eastAsia="宋体" w:cs="宋体"/>
                <w:color w:val="000000"/>
                <w:kern w:val="2"/>
                <w:sz w:val="24"/>
                <w:szCs w:val="24"/>
                <w:highlight w:val="none"/>
                <w:lang w:val="en-US" w:eastAsia="zh-CN" w:bidi="ar"/>
              </w:rPr>
              <w:t>法定代表人或委托代理人：（签字）</w:t>
            </w:r>
          </w:p>
          <w:p w14:paraId="513EED5C">
            <w:pPr>
              <w:keepNext w:val="0"/>
              <w:keepLines w:val="0"/>
              <w:widowControl w:val="0"/>
              <w:suppressLineNumbers w:val="0"/>
              <w:spacing w:before="0" w:beforeAutospacing="0" w:after="0" w:afterAutospacing="0" w:line="360" w:lineRule="auto"/>
              <w:ind w:left="0" w:leftChars="0" w:right="0" w:rightChars="0"/>
              <w:jc w:val="both"/>
              <w:rPr>
                <w:rFonts w:hint="eastAsia" w:ascii="宋体" w:hAnsi="宋体" w:eastAsia="宋体" w:cs="宋体"/>
                <w:color w:val="000000"/>
                <w:kern w:val="2"/>
                <w:sz w:val="24"/>
                <w:szCs w:val="24"/>
                <w:highlight w:val="none"/>
                <w:lang w:val="en-US" w:eastAsia="zh-CN" w:bidi="ar"/>
              </w:rPr>
            </w:pPr>
          </w:p>
        </w:tc>
      </w:tr>
      <w:tr w14:paraId="04BC6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jc w:val="center"/>
        </w:trPr>
        <w:tc>
          <w:tcPr>
            <w:tcW w:w="4300" w:type="dxa"/>
            <w:noWrap w:val="0"/>
            <w:vAlign w:val="center"/>
          </w:tcPr>
          <w:p w14:paraId="55058CE5">
            <w:pPr>
              <w:spacing w:after="0" w:line="360" w:lineRule="auto"/>
              <w:jc w:val="both"/>
              <w:rPr>
                <w:rFonts w:hint="eastAsia" w:ascii="宋体" w:hAnsi="宋体" w:eastAsia="宋体" w:cs="宋体"/>
                <w:color w:val="000000"/>
                <w:sz w:val="24"/>
                <w:highlight w:val="none"/>
                <w:vertAlign w:val="baseline"/>
              </w:rPr>
            </w:pPr>
            <w:r>
              <w:rPr>
                <w:rFonts w:hint="eastAsia" w:ascii="宋体" w:hAnsi="宋体" w:eastAsia="宋体" w:cs="宋体"/>
                <w:color w:val="000000"/>
                <w:sz w:val="24"/>
                <w:highlight w:val="none"/>
                <w:vertAlign w:val="baseline"/>
              </w:rPr>
              <w:t>住所：</w:t>
            </w:r>
          </w:p>
        </w:tc>
        <w:tc>
          <w:tcPr>
            <w:tcW w:w="4300" w:type="dxa"/>
            <w:noWrap w:val="0"/>
            <w:vAlign w:val="center"/>
          </w:tcPr>
          <w:p w14:paraId="4632FA64">
            <w:pPr>
              <w:keepNext w:val="0"/>
              <w:keepLines w:val="0"/>
              <w:widowControl w:val="0"/>
              <w:suppressLineNumbers w:val="0"/>
              <w:spacing w:before="0" w:beforeAutospacing="0" w:after="0" w:afterAutospacing="0" w:line="360" w:lineRule="auto"/>
              <w:ind w:left="0" w:leftChars="0" w:right="0" w:rightChars="0"/>
              <w:jc w:val="both"/>
              <w:rPr>
                <w:rFonts w:hint="eastAsia" w:ascii="宋体" w:hAnsi="宋体" w:eastAsia="宋体" w:cs="宋体"/>
                <w:color w:val="000000"/>
                <w:sz w:val="24"/>
                <w:highlight w:val="none"/>
                <w:vertAlign w:val="baseline"/>
              </w:rPr>
            </w:pPr>
            <w:r>
              <w:rPr>
                <w:rFonts w:hint="eastAsia" w:ascii="宋体" w:hAnsi="宋体" w:eastAsia="宋体" w:cs="宋体"/>
                <w:color w:val="000000"/>
                <w:kern w:val="2"/>
                <w:sz w:val="24"/>
                <w:szCs w:val="24"/>
                <w:highlight w:val="none"/>
                <w:lang w:val="en-US" w:eastAsia="zh-CN" w:bidi="ar"/>
              </w:rPr>
              <w:t>住所：</w:t>
            </w:r>
          </w:p>
        </w:tc>
      </w:tr>
      <w:tr w14:paraId="0FB3B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jc w:val="center"/>
        </w:trPr>
        <w:tc>
          <w:tcPr>
            <w:tcW w:w="4300" w:type="dxa"/>
            <w:noWrap w:val="0"/>
            <w:vAlign w:val="center"/>
          </w:tcPr>
          <w:p w14:paraId="48E81680">
            <w:pPr>
              <w:spacing w:after="0" w:line="360" w:lineRule="auto"/>
              <w:jc w:val="both"/>
              <w:rPr>
                <w:rFonts w:hint="eastAsia" w:ascii="宋体" w:hAnsi="宋体" w:eastAsia="宋体" w:cs="宋体"/>
                <w:color w:val="000000"/>
                <w:sz w:val="24"/>
                <w:highlight w:val="none"/>
                <w:vertAlign w:val="baseline"/>
              </w:rPr>
            </w:pPr>
            <w:r>
              <w:rPr>
                <w:rFonts w:hint="eastAsia" w:ascii="宋体" w:hAnsi="宋体" w:eastAsia="宋体" w:cs="宋体"/>
                <w:color w:val="000000"/>
                <w:sz w:val="24"/>
                <w:highlight w:val="none"/>
                <w:vertAlign w:val="baseline"/>
              </w:rPr>
              <w:t>开户银行：</w:t>
            </w:r>
          </w:p>
        </w:tc>
        <w:tc>
          <w:tcPr>
            <w:tcW w:w="4300" w:type="dxa"/>
            <w:noWrap w:val="0"/>
            <w:vAlign w:val="center"/>
          </w:tcPr>
          <w:p w14:paraId="2CE160A4">
            <w:pPr>
              <w:keepNext w:val="0"/>
              <w:keepLines w:val="0"/>
              <w:widowControl w:val="0"/>
              <w:suppressLineNumbers w:val="0"/>
              <w:spacing w:before="0" w:beforeAutospacing="0" w:after="0" w:afterAutospacing="0" w:line="360" w:lineRule="auto"/>
              <w:ind w:left="0" w:leftChars="0" w:right="0" w:rightChars="0"/>
              <w:jc w:val="both"/>
              <w:rPr>
                <w:rFonts w:hint="eastAsia" w:ascii="宋体" w:hAnsi="宋体" w:eastAsia="宋体" w:cs="宋体"/>
                <w:color w:val="000000"/>
                <w:sz w:val="24"/>
                <w:highlight w:val="none"/>
                <w:vertAlign w:val="baseline"/>
              </w:rPr>
            </w:pPr>
            <w:r>
              <w:rPr>
                <w:rFonts w:hint="eastAsia" w:ascii="宋体" w:hAnsi="宋体" w:eastAsia="宋体" w:cs="宋体"/>
                <w:color w:val="000000"/>
                <w:kern w:val="2"/>
                <w:sz w:val="24"/>
                <w:szCs w:val="24"/>
                <w:highlight w:val="none"/>
                <w:lang w:val="en-US" w:eastAsia="zh-CN" w:bidi="ar"/>
              </w:rPr>
              <w:t>开户银行：</w:t>
            </w:r>
          </w:p>
        </w:tc>
      </w:tr>
      <w:tr w14:paraId="582CC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jc w:val="center"/>
        </w:trPr>
        <w:tc>
          <w:tcPr>
            <w:tcW w:w="4300" w:type="dxa"/>
            <w:noWrap w:val="0"/>
            <w:vAlign w:val="center"/>
          </w:tcPr>
          <w:p w14:paraId="090D2132">
            <w:pPr>
              <w:spacing w:after="0" w:line="360" w:lineRule="auto"/>
              <w:jc w:val="both"/>
              <w:rPr>
                <w:rFonts w:hint="eastAsia" w:ascii="宋体" w:hAnsi="宋体" w:eastAsia="宋体" w:cs="宋体"/>
                <w:color w:val="000000"/>
                <w:sz w:val="24"/>
                <w:highlight w:val="none"/>
                <w:vertAlign w:val="baseline"/>
              </w:rPr>
            </w:pPr>
            <w:r>
              <w:rPr>
                <w:rFonts w:hint="eastAsia" w:ascii="宋体" w:hAnsi="宋体" w:eastAsia="宋体" w:cs="宋体"/>
                <w:color w:val="000000"/>
                <w:sz w:val="24"/>
                <w:highlight w:val="none"/>
                <w:vertAlign w:val="baseline"/>
              </w:rPr>
              <w:t>帐 号：</w:t>
            </w:r>
          </w:p>
        </w:tc>
        <w:tc>
          <w:tcPr>
            <w:tcW w:w="4300" w:type="dxa"/>
            <w:noWrap w:val="0"/>
            <w:vAlign w:val="center"/>
          </w:tcPr>
          <w:p w14:paraId="421B981F">
            <w:pPr>
              <w:keepNext w:val="0"/>
              <w:keepLines w:val="0"/>
              <w:widowControl w:val="0"/>
              <w:suppressLineNumbers w:val="0"/>
              <w:spacing w:before="0" w:beforeAutospacing="0" w:after="0" w:afterAutospacing="0" w:line="360" w:lineRule="auto"/>
              <w:ind w:left="0" w:leftChars="0" w:right="0" w:rightChars="0"/>
              <w:jc w:val="both"/>
              <w:rPr>
                <w:rFonts w:hint="eastAsia" w:ascii="宋体" w:hAnsi="宋体" w:eastAsia="宋体" w:cs="宋体"/>
                <w:color w:val="000000"/>
                <w:sz w:val="24"/>
                <w:highlight w:val="none"/>
                <w:vertAlign w:val="baseline"/>
              </w:rPr>
            </w:pPr>
            <w:r>
              <w:rPr>
                <w:rFonts w:hint="eastAsia" w:ascii="宋体" w:hAnsi="宋体" w:eastAsia="宋体" w:cs="宋体"/>
                <w:color w:val="000000"/>
                <w:kern w:val="2"/>
                <w:sz w:val="24"/>
                <w:szCs w:val="24"/>
                <w:highlight w:val="none"/>
                <w:lang w:val="en-US" w:eastAsia="zh-CN" w:bidi="ar"/>
              </w:rPr>
              <w:t>帐 号：</w:t>
            </w:r>
          </w:p>
        </w:tc>
      </w:tr>
      <w:tr w14:paraId="77272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jc w:val="center"/>
        </w:trPr>
        <w:tc>
          <w:tcPr>
            <w:tcW w:w="4300" w:type="dxa"/>
            <w:noWrap w:val="0"/>
            <w:vAlign w:val="center"/>
          </w:tcPr>
          <w:p w14:paraId="416BC6FD">
            <w:pPr>
              <w:spacing w:after="0" w:line="360" w:lineRule="auto"/>
              <w:jc w:val="both"/>
              <w:rPr>
                <w:rFonts w:hint="eastAsia" w:ascii="宋体" w:hAnsi="宋体" w:eastAsia="宋体" w:cs="宋体"/>
                <w:color w:val="000000"/>
                <w:sz w:val="24"/>
                <w:highlight w:val="none"/>
                <w:vertAlign w:val="baseline"/>
              </w:rPr>
            </w:pPr>
            <w:r>
              <w:rPr>
                <w:rFonts w:hint="eastAsia" w:ascii="宋体" w:hAnsi="宋体" w:eastAsia="宋体" w:cs="宋体"/>
                <w:color w:val="000000"/>
                <w:sz w:val="24"/>
                <w:highlight w:val="none"/>
                <w:vertAlign w:val="baseline"/>
              </w:rPr>
              <w:t>电 话：</w:t>
            </w:r>
          </w:p>
        </w:tc>
        <w:tc>
          <w:tcPr>
            <w:tcW w:w="4300" w:type="dxa"/>
            <w:noWrap w:val="0"/>
            <w:vAlign w:val="center"/>
          </w:tcPr>
          <w:p w14:paraId="10939221">
            <w:pPr>
              <w:keepNext w:val="0"/>
              <w:keepLines w:val="0"/>
              <w:widowControl w:val="0"/>
              <w:suppressLineNumbers w:val="0"/>
              <w:spacing w:before="0" w:beforeAutospacing="0" w:after="0" w:afterAutospacing="0" w:line="360" w:lineRule="auto"/>
              <w:ind w:left="0" w:leftChars="0" w:right="0" w:rightChars="0"/>
              <w:jc w:val="both"/>
              <w:rPr>
                <w:rFonts w:hint="eastAsia" w:ascii="宋体" w:hAnsi="宋体" w:eastAsia="宋体" w:cs="宋体"/>
                <w:color w:val="000000"/>
                <w:sz w:val="24"/>
                <w:highlight w:val="none"/>
                <w:vertAlign w:val="baseline"/>
              </w:rPr>
            </w:pPr>
            <w:r>
              <w:rPr>
                <w:rFonts w:hint="eastAsia" w:ascii="宋体" w:hAnsi="宋体" w:eastAsia="宋体" w:cs="宋体"/>
                <w:color w:val="000000"/>
                <w:kern w:val="2"/>
                <w:sz w:val="24"/>
                <w:szCs w:val="24"/>
                <w:highlight w:val="none"/>
                <w:lang w:val="en-US" w:eastAsia="zh-CN" w:bidi="ar"/>
              </w:rPr>
              <w:t>电 话：</w:t>
            </w:r>
          </w:p>
        </w:tc>
      </w:tr>
      <w:tr w14:paraId="140AA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jc w:val="center"/>
        </w:trPr>
        <w:tc>
          <w:tcPr>
            <w:tcW w:w="4300" w:type="dxa"/>
            <w:noWrap w:val="0"/>
            <w:vAlign w:val="center"/>
          </w:tcPr>
          <w:p w14:paraId="22095701">
            <w:pPr>
              <w:spacing w:after="0" w:line="360" w:lineRule="auto"/>
              <w:jc w:val="both"/>
              <w:rPr>
                <w:rFonts w:hint="eastAsia" w:ascii="宋体" w:hAnsi="宋体" w:eastAsia="宋体" w:cs="宋体"/>
                <w:color w:val="000000"/>
                <w:sz w:val="24"/>
                <w:highlight w:val="none"/>
                <w:vertAlign w:val="baseline"/>
              </w:rPr>
            </w:pPr>
            <w:r>
              <w:rPr>
                <w:rFonts w:hint="eastAsia" w:ascii="宋体" w:hAnsi="宋体" w:eastAsia="宋体" w:cs="宋体"/>
                <w:color w:val="000000"/>
                <w:sz w:val="24"/>
                <w:highlight w:val="none"/>
                <w:vertAlign w:val="baseline"/>
              </w:rPr>
              <w:t>传 真：</w:t>
            </w:r>
          </w:p>
        </w:tc>
        <w:tc>
          <w:tcPr>
            <w:tcW w:w="4300" w:type="dxa"/>
            <w:noWrap w:val="0"/>
            <w:vAlign w:val="center"/>
          </w:tcPr>
          <w:p w14:paraId="7E4D2AD5">
            <w:pPr>
              <w:keepNext w:val="0"/>
              <w:keepLines w:val="0"/>
              <w:widowControl w:val="0"/>
              <w:suppressLineNumbers w:val="0"/>
              <w:spacing w:before="0" w:beforeAutospacing="0" w:after="0" w:afterAutospacing="0" w:line="360" w:lineRule="auto"/>
              <w:ind w:left="0" w:leftChars="0" w:right="0" w:rightChars="0"/>
              <w:jc w:val="both"/>
              <w:rPr>
                <w:rFonts w:hint="eastAsia" w:ascii="宋体" w:hAnsi="宋体" w:eastAsia="宋体" w:cs="宋体"/>
                <w:color w:val="000000"/>
                <w:sz w:val="24"/>
                <w:highlight w:val="none"/>
                <w:vertAlign w:val="baseline"/>
              </w:rPr>
            </w:pPr>
            <w:r>
              <w:rPr>
                <w:rFonts w:hint="eastAsia" w:ascii="宋体" w:hAnsi="宋体" w:eastAsia="宋体" w:cs="宋体"/>
                <w:color w:val="000000"/>
                <w:kern w:val="2"/>
                <w:sz w:val="24"/>
                <w:szCs w:val="24"/>
                <w:highlight w:val="none"/>
                <w:lang w:val="en-US" w:eastAsia="zh-CN" w:bidi="ar"/>
              </w:rPr>
              <w:t>传 真：</w:t>
            </w:r>
          </w:p>
        </w:tc>
      </w:tr>
      <w:tr w14:paraId="5BCF8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jc w:val="center"/>
        </w:trPr>
        <w:tc>
          <w:tcPr>
            <w:tcW w:w="4300" w:type="dxa"/>
            <w:noWrap w:val="0"/>
            <w:vAlign w:val="center"/>
          </w:tcPr>
          <w:p w14:paraId="0CBA3A83">
            <w:pPr>
              <w:spacing w:after="0" w:line="360" w:lineRule="auto"/>
              <w:jc w:val="both"/>
              <w:rPr>
                <w:rFonts w:hint="eastAsia" w:ascii="宋体" w:hAnsi="宋体" w:eastAsia="宋体" w:cs="宋体"/>
                <w:color w:val="000000"/>
                <w:sz w:val="24"/>
                <w:highlight w:val="none"/>
                <w:vertAlign w:val="baseline"/>
              </w:rPr>
            </w:pPr>
            <w:r>
              <w:rPr>
                <w:rFonts w:hint="eastAsia" w:ascii="宋体" w:hAnsi="宋体" w:eastAsia="宋体" w:cs="宋体"/>
                <w:color w:val="000000"/>
                <w:sz w:val="24"/>
                <w:highlight w:val="none"/>
                <w:vertAlign w:val="baseline"/>
              </w:rPr>
              <w:t>电子邮箱：</w:t>
            </w:r>
          </w:p>
        </w:tc>
        <w:tc>
          <w:tcPr>
            <w:tcW w:w="4300" w:type="dxa"/>
            <w:noWrap w:val="0"/>
            <w:vAlign w:val="center"/>
          </w:tcPr>
          <w:p w14:paraId="010B0496">
            <w:pPr>
              <w:keepNext w:val="0"/>
              <w:keepLines w:val="0"/>
              <w:widowControl w:val="0"/>
              <w:suppressLineNumbers w:val="0"/>
              <w:spacing w:before="0" w:beforeAutospacing="0" w:after="0" w:afterAutospacing="0" w:line="360" w:lineRule="auto"/>
              <w:ind w:left="0" w:leftChars="0" w:right="0" w:rightChars="0"/>
              <w:jc w:val="both"/>
              <w:rPr>
                <w:rFonts w:hint="eastAsia" w:ascii="宋体" w:hAnsi="宋体" w:eastAsia="宋体" w:cs="宋体"/>
                <w:color w:val="000000"/>
                <w:sz w:val="24"/>
                <w:highlight w:val="none"/>
                <w:vertAlign w:val="baseline"/>
              </w:rPr>
            </w:pPr>
            <w:r>
              <w:rPr>
                <w:rFonts w:hint="eastAsia" w:ascii="宋体" w:hAnsi="宋体" w:eastAsia="宋体" w:cs="宋体"/>
                <w:color w:val="000000"/>
                <w:kern w:val="2"/>
                <w:sz w:val="24"/>
                <w:szCs w:val="24"/>
                <w:highlight w:val="none"/>
                <w:lang w:val="en-US" w:eastAsia="zh-CN" w:bidi="ar"/>
              </w:rPr>
              <w:t>电子邮箱：</w:t>
            </w:r>
          </w:p>
        </w:tc>
      </w:tr>
      <w:tr w14:paraId="01395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jc w:val="center"/>
        </w:trPr>
        <w:tc>
          <w:tcPr>
            <w:tcW w:w="4300" w:type="dxa"/>
            <w:noWrap w:val="0"/>
            <w:vAlign w:val="center"/>
          </w:tcPr>
          <w:p w14:paraId="7EFF218F">
            <w:pPr>
              <w:spacing w:after="0" w:line="360" w:lineRule="auto"/>
              <w:jc w:val="both"/>
              <w:rPr>
                <w:rFonts w:hint="eastAsia" w:ascii="宋体" w:hAnsi="宋体" w:eastAsia="宋体" w:cs="宋体"/>
                <w:color w:val="000000"/>
                <w:sz w:val="24"/>
                <w:highlight w:val="none"/>
                <w:vertAlign w:val="baseline"/>
              </w:rPr>
            </w:pPr>
            <w:r>
              <w:rPr>
                <w:rFonts w:hint="eastAsia" w:ascii="宋体" w:hAnsi="宋体" w:eastAsia="宋体" w:cs="宋体"/>
                <w:color w:val="000000"/>
                <w:sz w:val="24"/>
                <w:highlight w:val="none"/>
                <w:vertAlign w:val="baseline"/>
              </w:rPr>
              <w:t>邮政编码：</w:t>
            </w:r>
          </w:p>
        </w:tc>
        <w:tc>
          <w:tcPr>
            <w:tcW w:w="4300" w:type="dxa"/>
            <w:noWrap w:val="0"/>
            <w:vAlign w:val="center"/>
          </w:tcPr>
          <w:p w14:paraId="77CA8C6A">
            <w:pPr>
              <w:keepNext w:val="0"/>
              <w:keepLines w:val="0"/>
              <w:widowControl w:val="0"/>
              <w:suppressLineNumbers w:val="0"/>
              <w:spacing w:before="0" w:beforeAutospacing="0" w:after="0" w:afterAutospacing="0" w:line="360" w:lineRule="auto"/>
              <w:ind w:left="0" w:leftChars="0" w:right="0" w:rightChars="0"/>
              <w:jc w:val="both"/>
              <w:rPr>
                <w:rFonts w:hint="eastAsia" w:ascii="宋体" w:hAnsi="宋体" w:eastAsia="宋体" w:cs="宋体"/>
                <w:color w:val="000000"/>
                <w:sz w:val="24"/>
                <w:highlight w:val="none"/>
                <w:vertAlign w:val="baseline"/>
              </w:rPr>
            </w:pPr>
            <w:r>
              <w:rPr>
                <w:rFonts w:hint="eastAsia" w:ascii="宋体" w:hAnsi="宋体" w:eastAsia="宋体" w:cs="宋体"/>
                <w:color w:val="000000"/>
                <w:kern w:val="2"/>
                <w:sz w:val="24"/>
                <w:szCs w:val="24"/>
                <w:highlight w:val="none"/>
                <w:lang w:val="en-US" w:eastAsia="zh-CN" w:bidi="ar"/>
              </w:rPr>
              <w:t>邮政编码：</w:t>
            </w:r>
          </w:p>
        </w:tc>
      </w:tr>
      <w:tr w14:paraId="0FCE1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jc w:val="center"/>
        </w:trPr>
        <w:tc>
          <w:tcPr>
            <w:tcW w:w="4300" w:type="dxa"/>
            <w:noWrap w:val="0"/>
            <w:vAlign w:val="center"/>
          </w:tcPr>
          <w:p w14:paraId="0665A340">
            <w:pPr>
              <w:spacing w:after="0" w:line="360" w:lineRule="auto"/>
              <w:jc w:val="right"/>
              <w:rPr>
                <w:rFonts w:hint="eastAsia" w:ascii="宋体" w:hAnsi="宋体" w:eastAsia="宋体" w:cs="宋体"/>
                <w:color w:val="000000"/>
                <w:sz w:val="24"/>
                <w:highlight w:val="none"/>
                <w:vertAlign w:val="baseline"/>
              </w:rPr>
            </w:pPr>
            <w:r>
              <w:rPr>
                <w:rFonts w:hint="eastAsia" w:ascii="宋体" w:hAnsi="宋体" w:eastAsia="宋体" w:cs="宋体"/>
                <w:color w:val="000000"/>
                <w:sz w:val="24"/>
                <w:highlight w:val="none"/>
                <w:vertAlign w:val="baseline"/>
              </w:rPr>
              <w:t>年</w:t>
            </w:r>
            <w:r>
              <w:rPr>
                <w:rFonts w:hint="eastAsia" w:ascii="宋体" w:hAnsi="宋体" w:eastAsia="宋体" w:cs="宋体"/>
                <w:color w:val="000000"/>
                <w:sz w:val="24"/>
                <w:highlight w:val="none"/>
                <w:vertAlign w:val="baseline"/>
                <w:lang w:val="en-US" w:eastAsia="zh-CN"/>
              </w:rPr>
              <w:t xml:space="preserve"> </w:t>
            </w:r>
            <w:r>
              <w:rPr>
                <w:rFonts w:hint="eastAsia" w:ascii="宋体" w:hAnsi="宋体" w:eastAsia="宋体" w:cs="宋体"/>
                <w:color w:val="000000"/>
                <w:sz w:val="24"/>
                <w:highlight w:val="none"/>
                <w:vertAlign w:val="baseline"/>
              </w:rPr>
              <w:t xml:space="preserve"> </w:t>
            </w:r>
            <w:r>
              <w:rPr>
                <w:rFonts w:hint="eastAsia" w:ascii="宋体" w:hAnsi="宋体" w:eastAsia="宋体" w:cs="宋体"/>
                <w:color w:val="000000"/>
                <w:sz w:val="24"/>
                <w:highlight w:val="none"/>
                <w:vertAlign w:val="baseline"/>
                <w:lang w:val="en-US" w:eastAsia="zh-CN"/>
              </w:rPr>
              <w:t xml:space="preserve">  </w:t>
            </w:r>
            <w:r>
              <w:rPr>
                <w:rFonts w:hint="eastAsia" w:ascii="宋体" w:hAnsi="宋体" w:eastAsia="宋体" w:cs="宋体"/>
                <w:color w:val="000000"/>
                <w:sz w:val="24"/>
                <w:highlight w:val="none"/>
                <w:vertAlign w:val="baseline"/>
              </w:rPr>
              <w:t>月</w:t>
            </w:r>
            <w:r>
              <w:rPr>
                <w:rFonts w:hint="eastAsia" w:ascii="宋体" w:hAnsi="宋体" w:eastAsia="宋体" w:cs="宋体"/>
                <w:color w:val="000000"/>
                <w:sz w:val="24"/>
                <w:highlight w:val="none"/>
                <w:vertAlign w:val="baseline"/>
                <w:lang w:val="en-US" w:eastAsia="zh-CN"/>
              </w:rPr>
              <w:t xml:space="preserve">   </w:t>
            </w:r>
            <w:r>
              <w:rPr>
                <w:rFonts w:hint="eastAsia" w:ascii="宋体" w:hAnsi="宋体" w:eastAsia="宋体" w:cs="宋体"/>
                <w:color w:val="000000"/>
                <w:sz w:val="24"/>
                <w:highlight w:val="none"/>
                <w:vertAlign w:val="baseline"/>
              </w:rPr>
              <w:t xml:space="preserve"> 日</w:t>
            </w:r>
          </w:p>
        </w:tc>
        <w:tc>
          <w:tcPr>
            <w:tcW w:w="4300" w:type="dxa"/>
            <w:noWrap w:val="0"/>
            <w:vAlign w:val="center"/>
          </w:tcPr>
          <w:p w14:paraId="58A5C4F4">
            <w:pPr>
              <w:keepNext w:val="0"/>
              <w:keepLines w:val="0"/>
              <w:widowControl w:val="0"/>
              <w:suppressLineNumbers w:val="0"/>
              <w:spacing w:before="0" w:beforeAutospacing="0" w:after="0" w:afterAutospacing="0" w:line="360" w:lineRule="auto"/>
              <w:ind w:left="0" w:leftChars="0" w:right="0" w:rightChars="0"/>
              <w:jc w:val="right"/>
              <w:rPr>
                <w:rFonts w:hint="eastAsia" w:ascii="宋体" w:hAnsi="宋体" w:eastAsia="宋体" w:cs="宋体"/>
                <w:color w:val="000000"/>
                <w:sz w:val="24"/>
                <w:highlight w:val="none"/>
                <w:vertAlign w:val="baseline"/>
              </w:rPr>
            </w:pPr>
            <w:r>
              <w:rPr>
                <w:rFonts w:hint="eastAsia" w:ascii="宋体" w:hAnsi="宋体" w:eastAsia="宋体" w:cs="宋体"/>
                <w:color w:val="000000"/>
                <w:kern w:val="2"/>
                <w:sz w:val="24"/>
                <w:szCs w:val="24"/>
                <w:highlight w:val="none"/>
                <w:lang w:val="en-US" w:eastAsia="zh-CN" w:bidi="ar"/>
              </w:rPr>
              <w:t>年    月    日</w:t>
            </w:r>
          </w:p>
        </w:tc>
      </w:tr>
    </w:tbl>
    <w:p w14:paraId="4387FD65">
      <w:pPr>
        <w:spacing w:line="360" w:lineRule="auto"/>
        <w:rPr>
          <w:rFonts w:hint="eastAsia" w:ascii="Times New Roman" w:hAnsi="Times New Roman" w:eastAsia="宋体"/>
          <w:color w:val="000000"/>
          <w:sz w:val="24"/>
          <w:highlight w:val="none"/>
        </w:rPr>
      </w:pPr>
    </w:p>
    <w:p w14:paraId="717516E0">
      <w:pPr>
        <w:spacing w:line="360" w:lineRule="auto"/>
        <w:rPr>
          <w:rFonts w:hint="eastAsia" w:ascii="Times New Roman" w:hAnsi="Times New Roman" w:eastAsia="宋体"/>
          <w:color w:val="000000"/>
          <w:sz w:val="24"/>
          <w:highlight w:val="none"/>
        </w:rPr>
      </w:pPr>
    </w:p>
    <w:p w14:paraId="1F1AF933">
      <w:pPr>
        <w:keepNext w:val="0"/>
        <w:keepLines w:val="0"/>
        <w:pageBreakBefore w:val="0"/>
        <w:widowControl w:val="0"/>
        <w:kinsoku/>
        <w:wordWrap/>
        <w:overflowPunct/>
        <w:topLinePunct w:val="0"/>
        <w:autoSpaceDE/>
        <w:autoSpaceDN/>
        <w:bidi w:val="0"/>
        <w:adjustRightInd/>
        <w:snapToGrid/>
        <w:spacing w:before="437" w:beforeLines="100" w:after="437" w:afterLines="100" w:line="240" w:lineRule="auto"/>
        <w:jc w:val="center"/>
        <w:textAlignment w:val="auto"/>
        <w:rPr>
          <w:rFonts w:hint="eastAsia" w:ascii="Times New Roman" w:hAnsi="Times New Roman" w:eastAsia="黑体" w:cs="宋体"/>
          <w:b/>
          <w:bCs/>
          <w:color w:val="000000"/>
          <w:kern w:val="0"/>
          <w:sz w:val="30"/>
          <w:szCs w:val="30"/>
          <w:highlight w:val="none"/>
          <w:lang w:val="en-US" w:eastAsia="zh-CN" w:bidi="ar-SA"/>
        </w:rPr>
      </w:pPr>
      <w:r>
        <w:rPr>
          <w:rFonts w:hint="eastAsia" w:ascii="Times New Roman" w:hAnsi="Times New Roman" w:eastAsia="黑体"/>
          <w:b/>
          <w:color w:val="000000"/>
          <w:sz w:val="30"/>
          <w:szCs w:val="30"/>
          <w:highlight w:val="none"/>
        </w:rPr>
        <w:br w:type="page"/>
      </w:r>
      <w:r>
        <w:rPr>
          <w:rFonts w:hint="eastAsia" w:ascii="Times New Roman" w:hAnsi="Times New Roman" w:eastAsia="黑体" w:cs="宋体"/>
          <w:b/>
          <w:bCs/>
          <w:color w:val="000000"/>
          <w:kern w:val="0"/>
          <w:sz w:val="30"/>
          <w:szCs w:val="30"/>
          <w:highlight w:val="none"/>
          <w:lang w:val="en-US" w:eastAsia="zh-CN" w:bidi="ar-SA"/>
        </w:rPr>
        <w:t>第二部分 通用条款</w:t>
      </w:r>
    </w:p>
    <w:p w14:paraId="419B0399">
      <w:pPr>
        <w:spacing w:line="360" w:lineRule="auto"/>
        <w:ind w:firstLine="480" w:firstLineChars="200"/>
        <w:rPr>
          <w:rFonts w:hint="eastAsia" w:ascii="Times New Roman" w:hAnsi="Times New Roman" w:eastAsia="宋体"/>
          <w:color w:val="000000"/>
          <w:sz w:val="24"/>
          <w:highlight w:val="none"/>
          <w:lang w:val="en-US" w:eastAsia="zh-CN"/>
        </w:rPr>
      </w:pPr>
      <w:r>
        <w:rPr>
          <w:rFonts w:hint="eastAsia" w:eastAsia="宋体"/>
          <w:color w:val="000000"/>
          <w:sz w:val="24"/>
          <w:highlight w:val="none"/>
          <w:lang w:val="en-US" w:eastAsia="zh-CN"/>
        </w:rPr>
        <w:t>略（详见《江苏省造价咨询合同示范文本》）</w:t>
      </w:r>
    </w:p>
    <w:p w14:paraId="61518BAA">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olor w:val="000000"/>
          <w:sz w:val="30"/>
          <w:szCs w:val="30"/>
          <w:highlight w:val="none"/>
        </w:rPr>
      </w:pPr>
      <w:r>
        <w:rPr>
          <w:rFonts w:hint="eastAsia" w:ascii="Times New Roman" w:hAnsi="Times New Roman" w:eastAsia="黑体"/>
          <w:color w:val="000000"/>
          <w:sz w:val="30"/>
          <w:szCs w:val="30"/>
          <w:highlight w:val="none"/>
        </w:rPr>
        <w:t>第三部分</w:t>
      </w:r>
      <w:r>
        <w:rPr>
          <w:rFonts w:hint="eastAsia" w:ascii="Times New Roman" w:hAnsi="Times New Roman" w:eastAsia="黑体"/>
          <w:color w:val="000000"/>
          <w:sz w:val="30"/>
          <w:szCs w:val="30"/>
          <w:highlight w:val="none"/>
          <w:lang w:eastAsia="zh-CN"/>
        </w:rPr>
        <w:t xml:space="preserve"> </w:t>
      </w:r>
      <w:r>
        <w:rPr>
          <w:rFonts w:hint="eastAsia" w:ascii="Times New Roman" w:hAnsi="Times New Roman" w:eastAsia="黑体"/>
          <w:color w:val="000000"/>
          <w:sz w:val="30"/>
          <w:szCs w:val="30"/>
          <w:highlight w:val="none"/>
        </w:rPr>
        <w:t>专用条款</w:t>
      </w:r>
    </w:p>
    <w:p w14:paraId="62A178CC">
      <w:pPr>
        <w:numPr>
          <w:ilvl w:val="0"/>
          <w:numId w:val="0"/>
        </w:numPr>
        <w:tabs>
          <w:tab w:val="left" w:pos="1260"/>
        </w:tabs>
        <w:spacing w:line="360" w:lineRule="auto"/>
        <w:ind w:left="0" w:leftChars="0" w:firstLine="482" w:firstLineChars="200"/>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val="en-US" w:eastAsia="zh-CN"/>
        </w:rPr>
        <w:t>一</w:t>
      </w:r>
      <w:r>
        <w:rPr>
          <w:rFonts w:hint="eastAsia" w:ascii="宋体" w:hAnsi="宋体" w:eastAsia="宋体" w:cs="宋体"/>
          <w:b/>
          <w:color w:val="000000"/>
          <w:sz w:val="24"/>
          <w:highlight w:val="none"/>
          <w:lang w:eastAsia="zh-CN"/>
        </w:rPr>
        <w:t xml:space="preserve">条 </w:t>
      </w:r>
      <w:r>
        <w:rPr>
          <w:rFonts w:hint="eastAsia" w:ascii="宋体" w:hAnsi="宋体" w:eastAsia="宋体" w:cs="宋体"/>
          <w:color w:val="000000"/>
          <w:sz w:val="24"/>
          <w:highlight w:val="none"/>
        </w:rPr>
        <w:t>本合同适用的法律、法规及工程造价计价办法和规定</w:t>
      </w:r>
    </w:p>
    <w:p w14:paraId="7B09BA5D">
      <w:pPr>
        <w:spacing w:line="360" w:lineRule="auto"/>
        <w:ind w:left="0" w:leftChars="0" w:firstLine="480" w:firstLineChars="200"/>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1．适用法律和法规：</w:t>
      </w:r>
      <w:r>
        <w:rPr>
          <w:rFonts w:hint="eastAsia" w:ascii="宋体" w:hAnsi="宋体" w:eastAsia="宋体" w:cs="宋体"/>
          <w:color w:val="000000"/>
          <w:sz w:val="24"/>
          <w:highlight w:val="none"/>
          <w:u w:val="single"/>
          <w:lang w:eastAsia="zh-CN"/>
        </w:rPr>
        <w:t>《中华人民共和国民法典》、《中华人民共和国招标投标法》、《中华人民共和国建筑法》</w:t>
      </w:r>
      <w:r>
        <w:rPr>
          <w:rFonts w:hint="eastAsia" w:ascii="宋体" w:hAnsi="宋体" w:eastAsia="宋体" w:cs="宋体"/>
          <w:color w:val="000000"/>
          <w:sz w:val="24"/>
          <w:highlight w:val="none"/>
          <w:u w:val="single"/>
          <w:lang w:val="en-US" w:eastAsia="zh-CN"/>
        </w:rPr>
        <w:t>等</w:t>
      </w:r>
      <w:r>
        <w:rPr>
          <w:rFonts w:hint="eastAsia" w:ascii="宋体" w:hAnsi="宋体" w:eastAsia="宋体" w:cs="宋体"/>
          <w:color w:val="000000"/>
          <w:sz w:val="24"/>
          <w:highlight w:val="none"/>
          <w:u w:val="single"/>
          <w:lang w:eastAsia="zh-CN"/>
        </w:rPr>
        <w:t>现行法律法规及江苏省、连云港市现行有关规定。</w:t>
      </w:r>
      <w:r>
        <w:rPr>
          <w:rFonts w:hint="eastAsia" w:ascii="宋体" w:hAnsi="宋体" w:eastAsia="宋体" w:cs="宋体"/>
          <w:color w:val="000000"/>
          <w:sz w:val="24"/>
          <w:highlight w:val="none"/>
          <w:u w:val="single"/>
          <w:lang w:val="en-US" w:eastAsia="zh-CN"/>
        </w:rPr>
        <w:t xml:space="preserve">      </w:t>
      </w:r>
    </w:p>
    <w:p w14:paraId="6222FBEB">
      <w:pPr>
        <w:spacing w:line="360" w:lineRule="auto"/>
        <w:ind w:left="0" w:leftChars="0" w:firstLine="480" w:firstLineChars="200"/>
        <w:rPr>
          <w:rFonts w:hint="eastAsia" w:ascii="宋体" w:hAnsi="宋体" w:eastAsia="宋体" w:cs="宋体"/>
          <w:color w:val="000000"/>
          <w:sz w:val="24"/>
          <w:highlight w:val="none"/>
          <w:u w:val="single"/>
          <w:lang w:eastAsia="zh-CN"/>
        </w:rPr>
      </w:pPr>
      <w:r>
        <w:rPr>
          <w:rFonts w:hint="eastAsia" w:ascii="宋体" w:hAnsi="宋体" w:eastAsia="宋体" w:cs="宋体"/>
          <w:color w:val="000000"/>
          <w:sz w:val="24"/>
          <w:highlight w:val="none"/>
        </w:rPr>
        <w:t>2．工程造价计价办法：</w:t>
      </w:r>
      <w:r>
        <w:rPr>
          <w:rFonts w:hint="eastAsia" w:ascii="宋体" w:hAnsi="宋体" w:eastAsia="宋体" w:cs="宋体"/>
          <w:color w:val="000000"/>
          <w:sz w:val="24"/>
          <w:highlight w:val="none"/>
          <w:u w:val="single"/>
          <w:lang w:eastAsia="zh-CN"/>
        </w:rPr>
        <w:t>《江苏省建设工程造价管理办法》、</w:t>
      </w:r>
      <w:r>
        <w:rPr>
          <w:rFonts w:hint="eastAsia" w:ascii="宋体" w:hAnsi="宋体" w:eastAsia="宋体" w:cs="宋体"/>
          <w:color w:val="000000"/>
          <w:sz w:val="24"/>
          <w:highlight w:val="none"/>
          <w:u w:val="single"/>
          <w:lang w:val="en-US" w:eastAsia="zh-CN"/>
        </w:rPr>
        <w:t>江苏省现行造价计价办法、招标文件中约定的计价办法等</w:t>
      </w:r>
      <w:r>
        <w:rPr>
          <w:rFonts w:hint="eastAsia" w:ascii="宋体" w:hAnsi="宋体" w:eastAsia="宋体" w:cs="宋体"/>
          <w:color w:val="000000"/>
          <w:sz w:val="24"/>
          <w:highlight w:val="none"/>
          <w:u w:val="single"/>
          <w:lang w:eastAsia="zh-CN"/>
        </w:rPr>
        <w:t>。</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lang w:eastAsia="zh-CN"/>
        </w:rPr>
        <w:t xml:space="preserve"> </w:t>
      </w:r>
    </w:p>
    <w:p w14:paraId="133524B9">
      <w:pPr>
        <w:spacing w:line="360" w:lineRule="auto"/>
        <w:ind w:left="0" w:leftChars="0" w:firstLine="480" w:firstLineChars="200"/>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3．标准规范：</w:t>
      </w:r>
      <w:r>
        <w:rPr>
          <w:rFonts w:hint="eastAsia" w:ascii="宋体" w:hAnsi="宋体" w:eastAsia="宋体" w:cs="宋体"/>
          <w:color w:val="000000"/>
          <w:sz w:val="24"/>
          <w:highlight w:val="none"/>
          <w:u w:val="single"/>
          <w:lang w:eastAsia="zh-CN"/>
        </w:rPr>
        <w:t>《建设工程造价咨询规范》GB/T 50195-2015、《建设工程造价咨询成果文件质量标准》CECA/GC7-2012、《建设工程工程量清单计价规范》GB50500-2013、</w:t>
      </w:r>
      <w:r>
        <w:rPr>
          <w:rFonts w:hint="eastAsia" w:ascii="宋体" w:hAnsi="宋体" w:eastAsia="宋体" w:cs="宋体"/>
          <w:color w:val="000000"/>
          <w:sz w:val="24"/>
          <w:highlight w:val="none"/>
          <w:u w:val="single"/>
          <w:lang w:val="en-US" w:eastAsia="zh-CN"/>
        </w:rPr>
        <w:t>《江苏省建设工程造价咨询业务指导规程》（2021版）。</w:t>
      </w:r>
    </w:p>
    <w:p w14:paraId="3BB544CA">
      <w:pPr>
        <w:spacing w:line="360" w:lineRule="auto"/>
        <w:ind w:left="0" w:leftChars="0" w:firstLine="482" w:firstLineChars="200"/>
        <w:rPr>
          <w:rFonts w:hint="eastAsia" w:ascii="宋体" w:hAnsi="宋体" w:eastAsia="宋体" w:cs="宋体"/>
          <w:color w:val="000000"/>
          <w:sz w:val="24"/>
          <w:highlight w:val="none"/>
          <w:lang w:val="en-US" w:eastAsia="zh-CN"/>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val="en-US" w:eastAsia="zh-CN"/>
        </w:rPr>
        <w:t>二</w:t>
      </w:r>
      <w:r>
        <w:rPr>
          <w:rFonts w:hint="eastAsia" w:ascii="宋体" w:hAnsi="宋体" w:eastAsia="宋体" w:cs="宋体"/>
          <w:b/>
          <w:color w:val="000000"/>
          <w:sz w:val="24"/>
          <w:highlight w:val="none"/>
          <w:lang w:eastAsia="zh-CN"/>
        </w:rPr>
        <w:t xml:space="preserve">条 </w:t>
      </w:r>
      <w:r>
        <w:rPr>
          <w:rFonts w:hint="eastAsia" w:ascii="宋体" w:hAnsi="宋体" w:eastAsia="宋体" w:cs="宋体"/>
          <w:color w:val="000000"/>
          <w:sz w:val="24"/>
          <w:highlight w:val="none"/>
        </w:rPr>
        <w:t>本合同咨询</w:t>
      </w:r>
      <w:r>
        <w:rPr>
          <w:rFonts w:hint="eastAsia" w:ascii="宋体" w:hAnsi="宋体" w:eastAsia="宋体" w:cs="宋体"/>
          <w:color w:val="000000"/>
          <w:sz w:val="24"/>
          <w:highlight w:val="none"/>
          <w:lang w:val="en-US" w:eastAsia="zh-CN"/>
        </w:rPr>
        <w:t>单位</w:t>
      </w:r>
      <w:r>
        <w:rPr>
          <w:rFonts w:hint="eastAsia" w:ascii="宋体" w:hAnsi="宋体" w:eastAsia="宋体" w:cs="宋体"/>
          <w:color w:val="000000"/>
          <w:sz w:val="24"/>
          <w:highlight w:val="none"/>
        </w:rPr>
        <w:t>项目负责人由</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担任，负责本咨询项目的具体实施及与委托方的联系等事宜。</w:t>
      </w:r>
      <w:r>
        <w:rPr>
          <w:rFonts w:hint="eastAsia" w:ascii="宋体" w:hAnsi="宋体" w:eastAsia="宋体" w:cs="宋体"/>
          <w:color w:val="000000"/>
          <w:sz w:val="24"/>
          <w:highlight w:val="none"/>
          <w:lang w:val="en-US" w:eastAsia="zh-CN"/>
        </w:rPr>
        <w:t>本项目投入人员包括：</w:t>
      </w:r>
    </w:p>
    <w:tbl>
      <w:tblPr>
        <w:tblStyle w:val="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
        <w:gridCol w:w="930"/>
        <w:gridCol w:w="2145"/>
        <w:gridCol w:w="1425"/>
        <w:gridCol w:w="1455"/>
        <w:gridCol w:w="1320"/>
        <w:gridCol w:w="675"/>
        <w:gridCol w:w="657"/>
      </w:tblGrid>
      <w:tr w14:paraId="107D3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9" w:type="dxa"/>
            <w:noWrap w:val="0"/>
            <w:vAlign w:val="center"/>
          </w:tcPr>
          <w:p w14:paraId="0F27CB14">
            <w:pPr>
              <w:pStyle w:val="61"/>
              <w:keepNext w:val="0"/>
              <w:keepLines w:val="0"/>
              <w:widowControl w:val="0"/>
              <w:suppressLineNumbers w:val="0"/>
              <w:spacing w:before="0" w:beforeAutospacing="0" w:after="0" w:afterAutospacing="0"/>
              <w:ind w:left="0" w:leftChars="0" w:right="0" w:firstLine="0" w:firstLineChars="0"/>
              <w:jc w:val="center"/>
              <w:rPr>
                <w:rFonts w:hint="default"/>
                <w:b/>
                <w:bCs/>
                <w:highlight w:val="none"/>
                <w:vertAlign w:val="baseline"/>
                <w:lang w:val="en-US" w:eastAsia="zh-CN"/>
              </w:rPr>
            </w:pPr>
            <w:r>
              <w:rPr>
                <w:rFonts w:hint="default"/>
                <w:b/>
                <w:bCs/>
                <w:highlight w:val="none"/>
                <w:vertAlign w:val="baseline"/>
                <w:lang w:val="en-US" w:eastAsia="zh-CN"/>
              </w:rPr>
              <w:t>序号</w:t>
            </w:r>
          </w:p>
        </w:tc>
        <w:tc>
          <w:tcPr>
            <w:tcW w:w="930" w:type="dxa"/>
            <w:noWrap w:val="0"/>
            <w:vAlign w:val="center"/>
          </w:tcPr>
          <w:p w14:paraId="6FAF0B9D">
            <w:pPr>
              <w:pStyle w:val="61"/>
              <w:keepNext w:val="0"/>
              <w:keepLines w:val="0"/>
              <w:widowControl w:val="0"/>
              <w:suppressLineNumbers w:val="0"/>
              <w:spacing w:before="0" w:beforeAutospacing="0" w:after="0" w:afterAutospacing="0"/>
              <w:ind w:left="0" w:leftChars="0" w:right="0" w:firstLine="0" w:firstLineChars="0"/>
              <w:jc w:val="center"/>
              <w:rPr>
                <w:rFonts w:hint="default"/>
                <w:b/>
                <w:bCs/>
                <w:highlight w:val="none"/>
                <w:vertAlign w:val="baseline"/>
                <w:lang w:val="en-US" w:eastAsia="zh-CN"/>
              </w:rPr>
            </w:pPr>
            <w:r>
              <w:rPr>
                <w:rFonts w:hint="default"/>
                <w:b/>
                <w:bCs/>
                <w:highlight w:val="none"/>
                <w:vertAlign w:val="baseline"/>
                <w:lang w:val="en-US" w:eastAsia="zh-CN"/>
              </w:rPr>
              <w:t>姓名</w:t>
            </w:r>
          </w:p>
        </w:tc>
        <w:tc>
          <w:tcPr>
            <w:tcW w:w="2145" w:type="dxa"/>
            <w:noWrap w:val="0"/>
            <w:vAlign w:val="center"/>
          </w:tcPr>
          <w:p w14:paraId="78F8E5F1">
            <w:pPr>
              <w:pStyle w:val="61"/>
              <w:keepNext w:val="0"/>
              <w:keepLines w:val="0"/>
              <w:widowControl w:val="0"/>
              <w:suppressLineNumbers w:val="0"/>
              <w:spacing w:before="0" w:beforeAutospacing="0" w:after="0" w:afterAutospacing="0"/>
              <w:ind w:left="0" w:leftChars="0" w:right="0" w:firstLine="0" w:firstLineChars="0"/>
              <w:jc w:val="center"/>
              <w:rPr>
                <w:rFonts w:hint="default"/>
                <w:b/>
                <w:bCs/>
                <w:highlight w:val="none"/>
                <w:vertAlign w:val="baseline"/>
                <w:lang w:val="en-US" w:eastAsia="zh-CN"/>
              </w:rPr>
            </w:pPr>
            <w:r>
              <w:rPr>
                <w:rFonts w:hint="eastAsia"/>
                <w:b/>
                <w:bCs/>
                <w:highlight w:val="none"/>
                <w:vertAlign w:val="baseline"/>
                <w:lang w:val="en-US" w:eastAsia="zh-CN"/>
              </w:rPr>
              <w:t>身份证号码</w:t>
            </w:r>
          </w:p>
        </w:tc>
        <w:tc>
          <w:tcPr>
            <w:tcW w:w="1425" w:type="dxa"/>
            <w:noWrap w:val="0"/>
            <w:vAlign w:val="center"/>
          </w:tcPr>
          <w:p w14:paraId="53B5D9DD">
            <w:pPr>
              <w:pStyle w:val="61"/>
              <w:keepNext w:val="0"/>
              <w:keepLines w:val="0"/>
              <w:widowControl w:val="0"/>
              <w:suppressLineNumbers w:val="0"/>
              <w:spacing w:before="0" w:beforeAutospacing="0" w:after="0" w:afterAutospacing="0"/>
              <w:ind w:left="0" w:leftChars="0" w:right="0" w:firstLine="0" w:firstLineChars="0"/>
              <w:jc w:val="center"/>
              <w:rPr>
                <w:rFonts w:hint="default"/>
                <w:b/>
                <w:bCs/>
                <w:highlight w:val="none"/>
                <w:vertAlign w:val="baseline"/>
                <w:lang w:val="en-US" w:eastAsia="zh-CN"/>
              </w:rPr>
            </w:pPr>
            <w:r>
              <w:rPr>
                <w:rFonts w:hint="eastAsia"/>
                <w:b/>
                <w:bCs/>
                <w:highlight w:val="none"/>
                <w:vertAlign w:val="baseline"/>
                <w:lang w:val="en-US" w:eastAsia="zh-CN"/>
              </w:rPr>
              <w:t>手机号码</w:t>
            </w:r>
          </w:p>
        </w:tc>
        <w:tc>
          <w:tcPr>
            <w:tcW w:w="1455" w:type="dxa"/>
            <w:noWrap w:val="0"/>
            <w:vAlign w:val="center"/>
          </w:tcPr>
          <w:p w14:paraId="615D3856">
            <w:pPr>
              <w:pStyle w:val="61"/>
              <w:keepNext w:val="0"/>
              <w:keepLines w:val="0"/>
              <w:widowControl w:val="0"/>
              <w:suppressLineNumbers w:val="0"/>
              <w:spacing w:before="0" w:beforeAutospacing="0" w:after="0" w:afterAutospacing="0"/>
              <w:ind w:left="0" w:leftChars="0" w:right="0" w:firstLine="0" w:firstLineChars="0"/>
              <w:jc w:val="center"/>
              <w:rPr>
                <w:rFonts w:hint="default"/>
                <w:b/>
                <w:bCs/>
                <w:highlight w:val="none"/>
                <w:vertAlign w:val="baseline"/>
                <w:lang w:val="en-US" w:eastAsia="zh-CN"/>
              </w:rPr>
            </w:pPr>
            <w:r>
              <w:rPr>
                <w:rFonts w:hint="eastAsia"/>
                <w:b/>
                <w:bCs/>
                <w:highlight w:val="none"/>
                <w:vertAlign w:val="baseline"/>
                <w:lang w:val="en-US" w:eastAsia="zh-CN"/>
              </w:rPr>
              <w:t>职责分工</w:t>
            </w:r>
          </w:p>
        </w:tc>
        <w:tc>
          <w:tcPr>
            <w:tcW w:w="1320" w:type="dxa"/>
            <w:noWrap w:val="0"/>
            <w:vAlign w:val="center"/>
          </w:tcPr>
          <w:p w14:paraId="4E8EDEC3">
            <w:pPr>
              <w:pStyle w:val="61"/>
              <w:keepNext w:val="0"/>
              <w:keepLines w:val="0"/>
              <w:widowControl w:val="0"/>
              <w:suppressLineNumbers w:val="0"/>
              <w:spacing w:before="0" w:beforeAutospacing="0" w:after="0" w:afterAutospacing="0"/>
              <w:ind w:left="0" w:leftChars="0" w:right="0" w:firstLine="0" w:firstLineChars="0"/>
              <w:jc w:val="center"/>
              <w:rPr>
                <w:rFonts w:hint="default"/>
                <w:b/>
                <w:bCs/>
                <w:highlight w:val="none"/>
                <w:vertAlign w:val="baseline"/>
                <w:lang w:val="en-US" w:eastAsia="zh-CN"/>
              </w:rPr>
            </w:pPr>
            <w:r>
              <w:rPr>
                <w:rFonts w:hint="default"/>
                <w:b/>
                <w:bCs/>
                <w:highlight w:val="none"/>
                <w:vertAlign w:val="baseline"/>
                <w:lang w:val="en-US" w:eastAsia="zh-CN"/>
              </w:rPr>
              <w:t>执业资格</w:t>
            </w:r>
          </w:p>
        </w:tc>
        <w:tc>
          <w:tcPr>
            <w:tcW w:w="675" w:type="dxa"/>
            <w:noWrap w:val="0"/>
            <w:vAlign w:val="center"/>
          </w:tcPr>
          <w:p w14:paraId="1FD30F8D">
            <w:pPr>
              <w:pStyle w:val="61"/>
              <w:keepNext w:val="0"/>
              <w:keepLines w:val="0"/>
              <w:widowControl w:val="0"/>
              <w:suppressLineNumbers w:val="0"/>
              <w:spacing w:before="0" w:beforeAutospacing="0" w:after="0" w:afterAutospacing="0"/>
              <w:ind w:left="0" w:leftChars="0" w:right="0" w:firstLine="0" w:firstLineChars="0"/>
              <w:jc w:val="center"/>
              <w:rPr>
                <w:rFonts w:hint="default"/>
                <w:b/>
                <w:bCs/>
                <w:highlight w:val="none"/>
                <w:vertAlign w:val="baseline"/>
                <w:lang w:val="en-US" w:eastAsia="zh-CN"/>
              </w:rPr>
            </w:pPr>
            <w:r>
              <w:rPr>
                <w:rFonts w:hint="default"/>
                <w:b/>
                <w:bCs/>
                <w:highlight w:val="none"/>
                <w:vertAlign w:val="baseline"/>
                <w:lang w:val="en-US" w:eastAsia="zh-CN"/>
              </w:rPr>
              <w:t>专业</w:t>
            </w:r>
          </w:p>
        </w:tc>
        <w:tc>
          <w:tcPr>
            <w:tcW w:w="657" w:type="dxa"/>
            <w:noWrap w:val="0"/>
            <w:vAlign w:val="center"/>
          </w:tcPr>
          <w:p w14:paraId="06B8D749">
            <w:pPr>
              <w:pStyle w:val="61"/>
              <w:keepNext w:val="0"/>
              <w:keepLines w:val="0"/>
              <w:widowControl w:val="0"/>
              <w:suppressLineNumbers w:val="0"/>
              <w:spacing w:before="0" w:beforeAutospacing="0" w:after="0" w:afterAutospacing="0"/>
              <w:ind w:left="0" w:leftChars="0" w:right="0" w:firstLine="0" w:firstLineChars="0"/>
              <w:jc w:val="center"/>
              <w:rPr>
                <w:rFonts w:hint="default"/>
                <w:b/>
                <w:bCs/>
                <w:highlight w:val="none"/>
                <w:vertAlign w:val="baseline"/>
                <w:lang w:val="en-US" w:eastAsia="zh-CN"/>
              </w:rPr>
            </w:pPr>
            <w:r>
              <w:rPr>
                <w:rFonts w:hint="eastAsia"/>
                <w:b/>
                <w:bCs/>
                <w:highlight w:val="none"/>
                <w:vertAlign w:val="baseline"/>
                <w:lang w:val="en-US" w:eastAsia="zh-CN"/>
              </w:rPr>
              <w:t>是否驻场</w:t>
            </w:r>
          </w:p>
        </w:tc>
      </w:tr>
      <w:tr w14:paraId="6EEE2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449" w:type="dxa"/>
            <w:noWrap w:val="0"/>
            <w:vAlign w:val="center"/>
          </w:tcPr>
          <w:p w14:paraId="773C3A7D">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930" w:type="dxa"/>
            <w:noWrap w:val="0"/>
            <w:vAlign w:val="center"/>
          </w:tcPr>
          <w:p w14:paraId="7FA960DB">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2145" w:type="dxa"/>
            <w:noWrap w:val="0"/>
            <w:vAlign w:val="center"/>
          </w:tcPr>
          <w:p w14:paraId="39EF81C7">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25" w:type="dxa"/>
            <w:noWrap w:val="0"/>
            <w:vAlign w:val="center"/>
          </w:tcPr>
          <w:p w14:paraId="5C62CE44">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55" w:type="dxa"/>
            <w:noWrap w:val="0"/>
            <w:vAlign w:val="center"/>
          </w:tcPr>
          <w:p w14:paraId="4FF91414">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r>
              <w:rPr>
                <w:rFonts w:hint="eastAsia" w:ascii="宋体" w:hAnsi="宋体" w:eastAsia="宋体" w:cs="宋体"/>
                <w:color w:val="000000"/>
                <w:sz w:val="24"/>
                <w:highlight w:val="none"/>
              </w:rPr>
              <w:t>项目负责人</w:t>
            </w:r>
          </w:p>
        </w:tc>
        <w:tc>
          <w:tcPr>
            <w:tcW w:w="1320" w:type="dxa"/>
            <w:noWrap w:val="0"/>
            <w:vAlign w:val="center"/>
          </w:tcPr>
          <w:p w14:paraId="38BDEDB5">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r>
              <w:rPr>
                <w:rFonts w:hint="eastAsia"/>
                <w:highlight w:val="none"/>
                <w:vertAlign w:val="baseline"/>
                <w:lang w:val="en-US" w:eastAsia="zh-CN"/>
              </w:rPr>
              <w:t>一级造价师</w:t>
            </w:r>
          </w:p>
        </w:tc>
        <w:tc>
          <w:tcPr>
            <w:tcW w:w="675" w:type="dxa"/>
            <w:noWrap w:val="0"/>
            <w:vAlign w:val="center"/>
          </w:tcPr>
          <w:p w14:paraId="0A8D7E78">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r>
              <w:rPr>
                <w:rFonts w:hint="eastAsia"/>
                <w:highlight w:val="none"/>
                <w:vertAlign w:val="baseline"/>
                <w:lang w:val="en-US" w:eastAsia="zh-CN"/>
              </w:rPr>
              <w:t>土建</w:t>
            </w:r>
          </w:p>
        </w:tc>
        <w:tc>
          <w:tcPr>
            <w:tcW w:w="657" w:type="dxa"/>
            <w:noWrap w:val="0"/>
            <w:vAlign w:val="center"/>
          </w:tcPr>
          <w:p w14:paraId="7BC76838">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r>
              <w:rPr>
                <w:rFonts w:hint="eastAsia"/>
                <w:highlight w:val="none"/>
                <w:vertAlign w:val="baseline"/>
                <w:lang w:val="en-US" w:eastAsia="zh-CN"/>
              </w:rPr>
              <w:t>是</w:t>
            </w:r>
          </w:p>
        </w:tc>
      </w:tr>
      <w:tr w14:paraId="52572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9" w:type="dxa"/>
            <w:noWrap w:val="0"/>
            <w:vAlign w:val="center"/>
          </w:tcPr>
          <w:p w14:paraId="3E15BCC0">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930" w:type="dxa"/>
            <w:noWrap w:val="0"/>
            <w:vAlign w:val="center"/>
          </w:tcPr>
          <w:p w14:paraId="726F5601">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2145" w:type="dxa"/>
            <w:noWrap w:val="0"/>
            <w:vAlign w:val="center"/>
          </w:tcPr>
          <w:p w14:paraId="2200FA47">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25" w:type="dxa"/>
            <w:noWrap w:val="0"/>
            <w:vAlign w:val="center"/>
          </w:tcPr>
          <w:p w14:paraId="18E77448">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55" w:type="dxa"/>
            <w:noWrap w:val="0"/>
            <w:vAlign w:val="center"/>
          </w:tcPr>
          <w:p w14:paraId="443A78A7">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320" w:type="dxa"/>
            <w:noWrap w:val="0"/>
            <w:vAlign w:val="center"/>
          </w:tcPr>
          <w:p w14:paraId="03FCF529">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675" w:type="dxa"/>
            <w:noWrap w:val="0"/>
            <w:vAlign w:val="center"/>
          </w:tcPr>
          <w:p w14:paraId="550FDA5A">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657" w:type="dxa"/>
            <w:noWrap w:val="0"/>
            <w:vAlign w:val="center"/>
          </w:tcPr>
          <w:p w14:paraId="260D7F8E">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r>
      <w:tr w14:paraId="56210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9" w:type="dxa"/>
            <w:noWrap w:val="0"/>
            <w:vAlign w:val="center"/>
          </w:tcPr>
          <w:p w14:paraId="5146FDFB">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930" w:type="dxa"/>
            <w:noWrap w:val="0"/>
            <w:vAlign w:val="center"/>
          </w:tcPr>
          <w:p w14:paraId="03030F3B">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2145" w:type="dxa"/>
            <w:noWrap w:val="0"/>
            <w:vAlign w:val="center"/>
          </w:tcPr>
          <w:p w14:paraId="0D2EC950">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25" w:type="dxa"/>
            <w:noWrap w:val="0"/>
            <w:vAlign w:val="center"/>
          </w:tcPr>
          <w:p w14:paraId="1B8E2E4C">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55" w:type="dxa"/>
            <w:noWrap w:val="0"/>
            <w:vAlign w:val="center"/>
          </w:tcPr>
          <w:p w14:paraId="25670799">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320" w:type="dxa"/>
            <w:noWrap w:val="0"/>
            <w:vAlign w:val="center"/>
          </w:tcPr>
          <w:p w14:paraId="132F530B">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675" w:type="dxa"/>
            <w:noWrap w:val="0"/>
            <w:vAlign w:val="center"/>
          </w:tcPr>
          <w:p w14:paraId="713E7B17">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657" w:type="dxa"/>
            <w:noWrap w:val="0"/>
            <w:vAlign w:val="center"/>
          </w:tcPr>
          <w:p w14:paraId="2B0F7D2F">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r>
      <w:tr w14:paraId="44B3A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9" w:type="dxa"/>
            <w:noWrap w:val="0"/>
            <w:vAlign w:val="center"/>
          </w:tcPr>
          <w:p w14:paraId="44B848A6">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930" w:type="dxa"/>
            <w:noWrap w:val="0"/>
            <w:vAlign w:val="center"/>
          </w:tcPr>
          <w:p w14:paraId="31571ADC">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2145" w:type="dxa"/>
            <w:noWrap w:val="0"/>
            <w:vAlign w:val="center"/>
          </w:tcPr>
          <w:p w14:paraId="7F93C2B8">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25" w:type="dxa"/>
            <w:noWrap w:val="0"/>
            <w:vAlign w:val="center"/>
          </w:tcPr>
          <w:p w14:paraId="05EF99D7">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55" w:type="dxa"/>
            <w:noWrap w:val="0"/>
            <w:vAlign w:val="center"/>
          </w:tcPr>
          <w:p w14:paraId="6E4D5777">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320" w:type="dxa"/>
            <w:noWrap w:val="0"/>
            <w:vAlign w:val="center"/>
          </w:tcPr>
          <w:p w14:paraId="2A98EED1">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675" w:type="dxa"/>
            <w:noWrap w:val="0"/>
            <w:vAlign w:val="center"/>
          </w:tcPr>
          <w:p w14:paraId="09E130FE">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657" w:type="dxa"/>
            <w:noWrap w:val="0"/>
            <w:vAlign w:val="center"/>
          </w:tcPr>
          <w:p w14:paraId="64ECA5A3">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r>
      <w:tr w14:paraId="769BE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9" w:type="dxa"/>
            <w:noWrap w:val="0"/>
            <w:vAlign w:val="center"/>
          </w:tcPr>
          <w:p w14:paraId="566D6DBB">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930" w:type="dxa"/>
            <w:noWrap w:val="0"/>
            <w:vAlign w:val="center"/>
          </w:tcPr>
          <w:p w14:paraId="764DE7E2">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2145" w:type="dxa"/>
            <w:noWrap w:val="0"/>
            <w:vAlign w:val="center"/>
          </w:tcPr>
          <w:p w14:paraId="5A2B6164">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25" w:type="dxa"/>
            <w:noWrap w:val="0"/>
            <w:vAlign w:val="center"/>
          </w:tcPr>
          <w:p w14:paraId="42720A49">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55" w:type="dxa"/>
            <w:noWrap w:val="0"/>
            <w:vAlign w:val="center"/>
          </w:tcPr>
          <w:p w14:paraId="020A3E5B">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320" w:type="dxa"/>
            <w:noWrap w:val="0"/>
            <w:vAlign w:val="center"/>
          </w:tcPr>
          <w:p w14:paraId="00DB4464">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675" w:type="dxa"/>
            <w:noWrap w:val="0"/>
            <w:vAlign w:val="center"/>
          </w:tcPr>
          <w:p w14:paraId="2C279446">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657" w:type="dxa"/>
            <w:noWrap w:val="0"/>
            <w:vAlign w:val="center"/>
          </w:tcPr>
          <w:p w14:paraId="1EF9D813">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r>
      <w:tr w14:paraId="07ACE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9" w:type="dxa"/>
            <w:noWrap w:val="0"/>
            <w:vAlign w:val="center"/>
          </w:tcPr>
          <w:p w14:paraId="64F50AC4">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930" w:type="dxa"/>
            <w:noWrap w:val="0"/>
            <w:vAlign w:val="center"/>
          </w:tcPr>
          <w:p w14:paraId="6250E831">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2145" w:type="dxa"/>
            <w:noWrap w:val="0"/>
            <w:vAlign w:val="center"/>
          </w:tcPr>
          <w:p w14:paraId="1BEE56C2">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25" w:type="dxa"/>
            <w:noWrap w:val="0"/>
            <w:vAlign w:val="center"/>
          </w:tcPr>
          <w:p w14:paraId="6DD0B601">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455" w:type="dxa"/>
            <w:noWrap w:val="0"/>
            <w:vAlign w:val="center"/>
          </w:tcPr>
          <w:p w14:paraId="006B6616">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1320" w:type="dxa"/>
            <w:noWrap w:val="0"/>
            <w:vAlign w:val="center"/>
          </w:tcPr>
          <w:p w14:paraId="7BEBDC87">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675" w:type="dxa"/>
            <w:noWrap w:val="0"/>
            <w:vAlign w:val="center"/>
          </w:tcPr>
          <w:p w14:paraId="0FB51AD1">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c>
          <w:tcPr>
            <w:tcW w:w="657" w:type="dxa"/>
            <w:noWrap w:val="0"/>
            <w:vAlign w:val="center"/>
          </w:tcPr>
          <w:p w14:paraId="391ECE97">
            <w:pPr>
              <w:pStyle w:val="61"/>
              <w:keepNext w:val="0"/>
              <w:keepLines w:val="0"/>
              <w:widowControl w:val="0"/>
              <w:suppressLineNumbers w:val="0"/>
              <w:spacing w:before="0" w:beforeAutospacing="0" w:after="0" w:afterAutospacing="0"/>
              <w:ind w:left="0" w:leftChars="0" w:right="0" w:firstLine="0" w:firstLineChars="0"/>
              <w:jc w:val="center"/>
              <w:rPr>
                <w:rFonts w:hint="default"/>
                <w:highlight w:val="none"/>
                <w:vertAlign w:val="baseline"/>
                <w:lang w:val="en-US" w:eastAsia="zh-CN"/>
              </w:rPr>
            </w:pPr>
          </w:p>
        </w:tc>
      </w:tr>
    </w:tbl>
    <w:p w14:paraId="4224B750">
      <w:pPr>
        <w:spacing w:line="360" w:lineRule="auto"/>
        <w:ind w:left="0" w:leftChars="0" w:firstLine="482" w:firstLineChars="200"/>
        <w:rPr>
          <w:rFonts w:hint="default" w:ascii="宋体" w:hAnsi="宋体" w:eastAsia="宋体" w:cs="宋体"/>
          <w:b/>
          <w:color w:val="000000"/>
          <w:sz w:val="24"/>
          <w:highlight w:val="none"/>
          <w:lang w:val="en-US" w:eastAsia="zh-CN"/>
        </w:rPr>
      </w:pPr>
      <w:r>
        <w:rPr>
          <w:rFonts w:hint="eastAsia" w:ascii="宋体" w:hAnsi="宋体" w:eastAsia="宋体" w:cs="宋体"/>
          <w:b/>
          <w:color w:val="000000"/>
          <w:sz w:val="24"/>
          <w:highlight w:val="none"/>
          <w:lang w:val="en-US" w:eastAsia="zh-CN"/>
        </w:rPr>
        <w:t>注：跟踪审计业务须在“是否驻场”列填写驻场人员，驻场要求详见第十条。</w:t>
      </w:r>
    </w:p>
    <w:p w14:paraId="2AD72F39">
      <w:pPr>
        <w:spacing w:line="360" w:lineRule="auto"/>
        <w:ind w:left="0" w:leftChars="0" w:firstLine="482" w:firstLineChars="200"/>
        <w:rPr>
          <w:rFonts w:hint="eastAsia" w:ascii="宋体" w:hAnsi="宋体" w:eastAsia="宋体" w:cs="宋体"/>
          <w:color w:val="FF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val="en-US" w:eastAsia="zh-CN"/>
        </w:rPr>
        <w:t>三</w:t>
      </w:r>
      <w:r>
        <w:rPr>
          <w:rFonts w:hint="eastAsia" w:ascii="宋体" w:hAnsi="宋体" w:eastAsia="宋体" w:cs="宋体"/>
          <w:b/>
          <w:color w:val="000000"/>
          <w:sz w:val="24"/>
          <w:highlight w:val="none"/>
          <w:lang w:eastAsia="zh-CN"/>
        </w:rPr>
        <w:t xml:space="preserve">条 </w:t>
      </w:r>
      <w:r>
        <w:rPr>
          <w:rFonts w:hint="eastAsia" w:ascii="宋体" w:hAnsi="宋体" w:eastAsia="宋体" w:cs="宋体"/>
          <w:color w:val="000000"/>
          <w:sz w:val="24"/>
          <w:highlight w:val="none"/>
        </w:rPr>
        <w:t>建设工程造价咨询业务范围及内容</w:t>
      </w:r>
    </w:p>
    <w:p w14:paraId="5F8F30C2">
      <w:pPr>
        <w:adjustRightInd w:val="0"/>
        <w:snapToGrid w:val="0"/>
        <w:spacing w:line="360" w:lineRule="auto"/>
        <w:ind w:left="0" w:leftChars="0"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1．委托工程造价咨询的工程范围：</w:t>
      </w:r>
      <w:r>
        <w:rPr>
          <w:rFonts w:hint="eastAsia" w:ascii="宋体" w:hAnsi="宋体" w:eastAsia="宋体" w:cs="宋体"/>
          <w:color w:val="000000"/>
          <w:sz w:val="24"/>
          <w:highlight w:val="none"/>
          <w:lang w:val="en-US" w:eastAsia="zh-CN"/>
        </w:rPr>
        <w:t>本合同约定</w:t>
      </w:r>
      <w:r>
        <w:rPr>
          <w:rFonts w:hint="default" w:ascii="宋体" w:hAnsi="宋体" w:eastAsia="宋体" w:cs="宋体"/>
          <w:color w:val="000000"/>
          <w:sz w:val="24"/>
          <w:highlight w:val="none"/>
          <w:lang w:eastAsia="zh-CN"/>
        </w:rPr>
        <w:t>标段</w:t>
      </w:r>
      <w:r>
        <w:rPr>
          <w:rFonts w:hint="eastAsia" w:ascii="宋体" w:hAnsi="宋体" w:eastAsia="宋体" w:cs="宋体"/>
          <w:color w:val="000000"/>
          <w:sz w:val="24"/>
          <w:highlight w:val="none"/>
          <w:u w:val="single"/>
          <w:lang w:val="en-US" w:eastAsia="zh-CN"/>
        </w:rPr>
        <w:t>全部范围。</w:t>
      </w:r>
    </w:p>
    <w:p w14:paraId="4DAF695A">
      <w:pPr>
        <w:spacing w:line="360" w:lineRule="auto"/>
        <w:ind w:left="0" w:leftChars="0"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w:t>
      </w:r>
      <w:r>
        <w:rPr>
          <w:rFonts w:hint="eastAsia" w:ascii="宋体" w:hAnsi="宋体" w:eastAsia="宋体" w:cs="宋体"/>
          <w:b/>
          <w:bCs/>
          <w:color w:val="000000"/>
          <w:sz w:val="24"/>
          <w:highlight w:val="none"/>
          <w:u w:val="single"/>
        </w:rPr>
        <w:t>委托工程造价咨询业务的内容</w:t>
      </w:r>
      <w:r>
        <w:rPr>
          <w:rFonts w:hint="eastAsia" w:ascii="宋体" w:hAnsi="宋体" w:eastAsia="宋体" w:cs="宋体"/>
          <w:b/>
          <w:bCs/>
          <w:color w:val="000000"/>
          <w:sz w:val="24"/>
          <w:highlight w:val="none"/>
          <w:u w:val="single"/>
          <w:lang w:val="en-US" w:eastAsia="zh-CN"/>
        </w:rPr>
        <w:t>及金额见《江苏苏海投资集团有限公司建设工程造价咨询服务收费计算表》（附表）</w:t>
      </w:r>
      <w:r>
        <w:rPr>
          <w:rFonts w:hint="eastAsia" w:ascii="宋体" w:hAnsi="宋体" w:eastAsia="宋体" w:cs="宋体"/>
          <w:color w:val="000000"/>
          <w:sz w:val="24"/>
          <w:highlight w:val="none"/>
          <w:lang w:val="en-US" w:eastAsia="zh-CN"/>
        </w:rPr>
        <w:t>。</w:t>
      </w:r>
    </w:p>
    <w:p w14:paraId="10613251">
      <w:pPr>
        <w:spacing w:line="360" w:lineRule="auto"/>
        <w:ind w:left="0" w:leftChars="0" w:firstLine="482" w:firstLineChars="200"/>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val="en-US" w:eastAsia="zh-CN"/>
        </w:rPr>
        <w:t>四</w:t>
      </w:r>
      <w:r>
        <w:rPr>
          <w:rFonts w:hint="eastAsia" w:ascii="宋体" w:hAnsi="宋体" w:eastAsia="宋体" w:cs="宋体"/>
          <w:b/>
          <w:color w:val="000000"/>
          <w:sz w:val="24"/>
          <w:highlight w:val="none"/>
          <w:lang w:eastAsia="zh-CN"/>
        </w:rPr>
        <w:t xml:space="preserve">条 </w:t>
      </w:r>
      <w:r>
        <w:rPr>
          <w:rFonts w:hint="eastAsia" w:ascii="宋体" w:hAnsi="宋体" w:eastAsia="宋体" w:cs="宋体"/>
          <w:color w:val="000000"/>
          <w:sz w:val="24"/>
          <w:highlight w:val="none"/>
        </w:rPr>
        <w:t>委托人应在</w:t>
      </w:r>
      <w:r>
        <w:rPr>
          <w:rFonts w:hint="eastAsia" w:ascii="宋体" w:hAnsi="宋体" w:eastAsia="宋体" w:cs="宋体"/>
          <w:color w:val="000000"/>
          <w:sz w:val="24"/>
          <w:highlight w:val="none"/>
          <w:u w:val="single"/>
          <w:lang w:val="en-US" w:eastAsia="zh-CN"/>
        </w:rPr>
        <w:t>3个工作</w:t>
      </w:r>
      <w:r>
        <w:rPr>
          <w:rFonts w:hint="eastAsia" w:ascii="宋体" w:hAnsi="宋体" w:eastAsia="宋体" w:cs="宋体"/>
          <w:color w:val="000000"/>
          <w:sz w:val="24"/>
          <w:highlight w:val="none"/>
          <w:u w:val="single"/>
        </w:rPr>
        <w:t>日</w:t>
      </w:r>
      <w:r>
        <w:rPr>
          <w:rFonts w:hint="eastAsia" w:ascii="宋体" w:hAnsi="宋体" w:eastAsia="宋体" w:cs="宋体"/>
          <w:color w:val="000000"/>
          <w:sz w:val="24"/>
          <w:highlight w:val="none"/>
        </w:rPr>
        <w:t>内对咨询人书面提交并要求做出答复的事宜做出书面答复。</w:t>
      </w:r>
    </w:p>
    <w:p w14:paraId="15A8B168">
      <w:pPr>
        <w:spacing w:line="360" w:lineRule="auto"/>
        <w:ind w:left="0" w:leftChars="0" w:firstLine="482" w:firstLineChars="200"/>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val="en-US" w:eastAsia="zh-CN"/>
        </w:rPr>
        <w:t>五</w:t>
      </w:r>
      <w:r>
        <w:rPr>
          <w:rFonts w:hint="eastAsia" w:ascii="宋体" w:hAnsi="宋体" w:eastAsia="宋体" w:cs="宋体"/>
          <w:b/>
          <w:color w:val="000000"/>
          <w:sz w:val="24"/>
          <w:highlight w:val="none"/>
          <w:lang w:eastAsia="zh-CN"/>
        </w:rPr>
        <w:t xml:space="preserve">条 </w:t>
      </w:r>
      <w:r>
        <w:rPr>
          <w:rFonts w:hint="eastAsia" w:ascii="宋体" w:hAnsi="宋体" w:eastAsia="宋体" w:cs="宋体"/>
          <w:color w:val="000000"/>
          <w:sz w:val="24"/>
          <w:highlight w:val="none"/>
        </w:rPr>
        <w:t>委托人授权</w:t>
      </w:r>
      <w:r>
        <w:rPr>
          <w:rFonts w:hint="eastAsia" w:ascii="宋体" w:hAnsi="宋体" w:cs="宋体"/>
          <w:color w:val="000000"/>
          <w:sz w:val="24"/>
          <w:highlight w:val="none"/>
          <w:u w:val="single"/>
          <w:lang w:val="en-US" w:eastAsia="zh-CN"/>
        </w:rPr>
        <w:t>*******</w:t>
      </w:r>
      <w:r>
        <w:rPr>
          <w:rFonts w:hint="eastAsia" w:ascii="宋体" w:hAnsi="宋体" w:eastAsia="宋体" w:cs="宋体"/>
          <w:color w:val="000000"/>
          <w:sz w:val="24"/>
          <w:highlight w:val="none"/>
        </w:rPr>
        <w:t>为本咨询业务的代表，负责与咨询人联系。</w:t>
      </w:r>
    </w:p>
    <w:p w14:paraId="1BC36EBD">
      <w:pPr>
        <w:spacing w:line="360" w:lineRule="auto"/>
        <w:ind w:left="0" w:leftChars="0" w:firstLine="482" w:firstLineChars="200"/>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val="en-US" w:eastAsia="zh-CN"/>
        </w:rPr>
        <w:t>六</w:t>
      </w:r>
      <w:r>
        <w:rPr>
          <w:rFonts w:hint="eastAsia" w:ascii="宋体" w:hAnsi="宋体" w:eastAsia="宋体" w:cs="宋体"/>
          <w:b/>
          <w:color w:val="000000"/>
          <w:sz w:val="24"/>
          <w:highlight w:val="none"/>
          <w:lang w:eastAsia="zh-CN"/>
        </w:rPr>
        <w:t xml:space="preserve">条 </w:t>
      </w:r>
      <w:r>
        <w:rPr>
          <w:rFonts w:hint="eastAsia" w:ascii="宋体" w:hAnsi="宋体" w:eastAsia="宋体" w:cs="宋体"/>
          <w:color w:val="000000"/>
          <w:sz w:val="24"/>
          <w:highlight w:val="none"/>
        </w:rPr>
        <w:t>咨询人在其责任期内如果因自身原因给委托方造成经济损失时，同意按以下办法承担责任，向委托方支付赔偿金：</w:t>
      </w:r>
    </w:p>
    <w:p w14:paraId="64063E35">
      <w:pPr>
        <w:spacing w:line="360" w:lineRule="auto"/>
        <w:ind w:left="0" w:leftChars="0"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赔偿金=直接经济损失。</w:t>
      </w:r>
    </w:p>
    <w:p w14:paraId="3985A7F5">
      <w:pPr>
        <w:spacing w:line="360" w:lineRule="auto"/>
        <w:ind w:left="0" w:leftChars="0" w:firstLine="482" w:firstLineChars="200"/>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val="en-US" w:eastAsia="zh-CN"/>
        </w:rPr>
        <w:t>七</w:t>
      </w:r>
      <w:r>
        <w:rPr>
          <w:rFonts w:hint="eastAsia" w:ascii="宋体" w:hAnsi="宋体" w:eastAsia="宋体" w:cs="宋体"/>
          <w:b/>
          <w:color w:val="000000"/>
          <w:sz w:val="24"/>
          <w:highlight w:val="none"/>
          <w:lang w:eastAsia="zh-CN"/>
        </w:rPr>
        <w:t xml:space="preserve">条 </w:t>
      </w:r>
      <w:r>
        <w:rPr>
          <w:rFonts w:hint="eastAsia" w:ascii="宋体" w:hAnsi="宋体" w:eastAsia="宋体" w:cs="宋体"/>
          <w:color w:val="000000"/>
          <w:sz w:val="24"/>
          <w:highlight w:val="none"/>
        </w:rPr>
        <w:t>委托人对其提供资料的真实性、完整性和有效性负责，由此造成的咨询人工作的缺陷或失误及额外工作由委托人负责对咨询人进行赔偿。</w:t>
      </w:r>
    </w:p>
    <w:p w14:paraId="78C1F9EC">
      <w:pPr>
        <w:spacing w:line="360" w:lineRule="auto"/>
        <w:ind w:left="0" w:leftChars="0" w:firstLine="482" w:firstLineChars="200"/>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val="en-US" w:eastAsia="zh-CN"/>
        </w:rPr>
        <w:t>八</w:t>
      </w:r>
      <w:r>
        <w:rPr>
          <w:rFonts w:hint="eastAsia" w:ascii="宋体" w:hAnsi="宋体" w:eastAsia="宋体" w:cs="宋体"/>
          <w:b/>
          <w:color w:val="000000"/>
          <w:sz w:val="24"/>
          <w:highlight w:val="none"/>
          <w:lang w:eastAsia="zh-CN"/>
        </w:rPr>
        <w:t xml:space="preserve">条 </w:t>
      </w:r>
      <w:r>
        <w:rPr>
          <w:rFonts w:hint="eastAsia" w:ascii="宋体" w:hAnsi="宋体" w:eastAsia="宋体" w:cs="宋体"/>
          <w:color w:val="000000"/>
          <w:sz w:val="24"/>
          <w:highlight w:val="none"/>
        </w:rPr>
        <w:t>委托人同意按以下的计算方法、支付时间与金额，支付咨询人的正常服务酬金：</w:t>
      </w:r>
    </w:p>
    <w:p w14:paraId="1DFD6780">
      <w:pPr>
        <w:spacing w:line="360" w:lineRule="auto"/>
        <w:ind w:left="0" w:leftChars="0"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1、正常酬金计算方法</w:t>
      </w:r>
    </w:p>
    <w:p w14:paraId="76571F0C">
      <w:pPr>
        <w:spacing w:line="360" w:lineRule="auto"/>
        <w:ind w:left="0" w:leftChars="0" w:firstLine="480" w:firstLineChars="200"/>
        <w:rPr>
          <w:rFonts w:hint="eastAsia" w:ascii="宋体" w:hAnsi="宋体" w:eastAsia="宋体" w:cs="宋体"/>
          <w:color w:val="000000"/>
          <w:sz w:val="24"/>
          <w:highlight w:val="none"/>
          <w:u w:val="single"/>
          <w:lang w:val="en-US" w:eastAsia="zh-CN"/>
        </w:rPr>
      </w:pPr>
      <w:r>
        <w:rPr>
          <w:rFonts w:hint="eastAsia" w:ascii="宋体" w:hAnsi="宋体" w:eastAsia="宋体" w:cs="宋体"/>
          <w:color w:val="000000"/>
          <w:sz w:val="24"/>
          <w:highlight w:val="none"/>
        </w:rPr>
        <w:t>根据江苏省工程造价行业主管部门及物价部门的有关规定，</w:t>
      </w:r>
      <w:r>
        <w:rPr>
          <w:rFonts w:hint="eastAsia" w:ascii="宋体" w:hAnsi="宋体" w:eastAsia="宋体" w:cs="宋体"/>
          <w:color w:val="000000"/>
          <w:sz w:val="24"/>
          <w:highlight w:val="none"/>
          <w:u w:val="none"/>
        </w:rPr>
        <w:t>本项目的咨询服务酬金</w:t>
      </w:r>
      <w:r>
        <w:rPr>
          <w:rFonts w:hint="eastAsia" w:ascii="宋体" w:hAnsi="宋体" w:eastAsia="宋体" w:cs="宋体"/>
          <w:color w:val="000000"/>
          <w:sz w:val="24"/>
          <w:highlight w:val="none"/>
          <w:u w:val="none"/>
          <w:lang w:val="en-US" w:eastAsia="zh-CN"/>
        </w:rPr>
        <w:t>按</w:t>
      </w:r>
      <w:r>
        <w:rPr>
          <w:rFonts w:hint="eastAsia" w:ascii="宋体" w:hAnsi="宋体" w:eastAsia="宋体" w:cs="宋体"/>
          <w:color w:val="000000"/>
          <w:sz w:val="24"/>
          <w:highlight w:val="none"/>
          <w:u w:val="none"/>
        </w:rPr>
        <w:t>《江苏苏海投资集团有限公司建设工程造价咨询服务收费计算表》（</w:t>
      </w:r>
      <w:r>
        <w:rPr>
          <w:rFonts w:hint="eastAsia" w:ascii="宋体" w:hAnsi="宋体" w:eastAsia="宋体" w:cs="宋体"/>
          <w:color w:val="000000"/>
          <w:sz w:val="24"/>
          <w:highlight w:val="none"/>
          <w:u w:val="none"/>
          <w:lang w:val="en-US" w:eastAsia="zh-CN"/>
        </w:rPr>
        <w:t>附表</w:t>
      </w:r>
      <w:r>
        <w:rPr>
          <w:rFonts w:hint="eastAsia" w:ascii="宋体" w:hAnsi="宋体" w:eastAsia="宋体" w:cs="宋体"/>
          <w:color w:val="000000"/>
          <w:sz w:val="24"/>
          <w:highlight w:val="none"/>
          <w:u w:val="none"/>
        </w:rPr>
        <w:t>）</w:t>
      </w:r>
      <w:r>
        <w:rPr>
          <w:rFonts w:hint="eastAsia" w:ascii="宋体" w:hAnsi="宋体" w:eastAsia="宋体" w:cs="宋体"/>
          <w:color w:val="000000"/>
          <w:sz w:val="24"/>
          <w:highlight w:val="none"/>
          <w:u w:val="none"/>
          <w:lang w:val="en-US" w:eastAsia="zh-CN"/>
        </w:rPr>
        <w:t>计算，计算得出的合同暂估总价为</w:t>
      </w:r>
      <w:r>
        <w:rPr>
          <w:rFonts w:hint="eastAsia" w:ascii="宋体" w:hAnsi="宋体" w:eastAsia="宋体" w:cs="宋体"/>
          <w:color w:val="000000"/>
          <w:sz w:val="24"/>
          <w:highlight w:val="none"/>
          <w:u w:val="single"/>
          <w:lang w:val="en-US" w:eastAsia="zh-CN"/>
        </w:rPr>
        <w:t>XXXXXXX.XX</w:t>
      </w:r>
      <w:r>
        <w:rPr>
          <w:rFonts w:hint="eastAsia" w:ascii="宋体" w:hAnsi="宋体" w:eastAsia="宋体" w:cs="宋体"/>
          <w:color w:val="000000"/>
          <w:sz w:val="24"/>
          <w:highlight w:val="none"/>
          <w:u w:val="none"/>
          <w:lang w:val="en-US" w:eastAsia="zh-CN"/>
        </w:rPr>
        <w:t>元，以最终实际发生为准。</w:t>
      </w:r>
    </w:p>
    <w:p w14:paraId="2CFD080E">
      <w:pPr>
        <w:spacing w:line="360" w:lineRule="auto"/>
        <w:ind w:left="0" w:leftChars="0" w:firstLine="480" w:firstLineChars="200"/>
        <w:rPr>
          <w:rFonts w:hint="eastAsia" w:ascii="宋体" w:hAnsi="宋体" w:eastAsia="宋体" w:cs="宋体"/>
          <w:color w:val="000000"/>
          <w:sz w:val="24"/>
          <w:highlight w:val="none"/>
          <w:u w:val="single"/>
          <w:lang w:val="en-US" w:eastAsia="zh-CN"/>
        </w:rPr>
      </w:pPr>
      <w:r>
        <w:rPr>
          <w:rFonts w:hint="eastAsia" w:ascii="宋体" w:hAnsi="宋体" w:eastAsia="宋体" w:cs="宋体"/>
          <w:color w:val="000000"/>
          <w:sz w:val="24"/>
          <w:highlight w:val="none"/>
          <w:u w:val="single"/>
          <w:lang w:val="en-US" w:eastAsia="zh-CN"/>
        </w:rPr>
        <w:t>委托人可对咨询人出具的审核结果进行复核，并按下表规则折减审核费用：</w:t>
      </w:r>
    </w:p>
    <w:tbl>
      <w:tblPr>
        <w:tblStyle w:val="43"/>
        <w:tblW w:w="8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5"/>
        <w:gridCol w:w="1303"/>
        <w:gridCol w:w="1303"/>
        <w:gridCol w:w="1303"/>
        <w:gridCol w:w="1303"/>
        <w:gridCol w:w="1303"/>
      </w:tblGrid>
      <w:tr w14:paraId="47173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blHeader/>
          <w:jc w:val="center"/>
        </w:trPr>
        <w:tc>
          <w:tcPr>
            <w:tcW w:w="2245" w:type="dxa"/>
            <w:tcBorders>
              <w:top w:val="single" w:color="auto" w:sz="4" w:space="0"/>
              <w:left w:val="single" w:color="auto" w:sz="4" w:space="0"/>
              <w:bottom w:val="single" w:color="auto" w:sz="4" w:space="0"/>
              <w:right w:val="single" w:color="auto" w:sz="4" w:space="0"/>
            </w:tcBorders>
            <w:noWrap w:val="0"/>
            <w:vAlign w:val="center"/>
          </w:tcPr>
          <w:p w14:paraId="054ACFF0">
            <w:pPr>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宋体" w:hAnsi="宋体" w:eastAsia="宋体" w:cs="宋体"/>
                <w:b/>
                <w:bCs/>
                <w:color w:val="000000"/>
                <w:sz w:val="24"/>
                <w:highlight w:val="none"/>
                <w:u w:val="none"/>
                <w:lang w:val="en-US" w:eastAsia="zh-CN"/>
              </w:rPr>
            </w:pPr>
            <w:r>
              <w:rPr>
                <w:rFonts w:hint="eastAsia" w:ascii="宋体" w:hAnsi="宋体" w:eastAsia="宋体" w:cs="宋体"/>
                <w:b/>
                <w:bCs/>
                <w:color w:val="000000"/>
                <w:sz w:val="24"/>
                <w:highlight w:val="none"/>
                <w:u w:val="none"/>
                <w:lang w:val="en-US" w:eastAsia="zh-CN"/>
              </w:rPr>
              <w:t>误差折减系数</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4BD9DD01">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b/>
                <w:bCs/>
                <w:color w:val="000000"/>
                <w:sz w:val="24"/>
                <w:highlight w:val="none"/>
                <w:u w:val="none"/>
                <w:lang w:eastAsia="zh-CN"/>
              </w:rPr>
            </w:pPr>
            <w:r>
              <w:rPr>
                <w:rFonts w:hint="eastAsia" w:ascii="宋体" w:hAnsi="宋体" w:eastAsia="宋体" w:cs="宋体"/>
                <w:b/>
                <w:bCs/>
                <w:color w:val="000000"/>
                <w:kern w:val="2"/>
                <w:sz w:val="24"/>
                <w:szCs w:val="24"/>
                <w:highlight w:val="none"/>
                <w:lang w:val="en-US" w:eastAsia="zh-CN" w:bidi="ar"/>
              </w:rPr>
              <w:t>1</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2BA5B52A">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b/>
                <w:bCs/>
                <w:color w:val="000000"/>
                <w:sz w:val="24"/>
                <w:highlight w:val="none"/>
                <w:u w:val="none"/>
                <w:lang w:eastAsia="zh-CN"/>
              </w:rPr>
            </w:pPr>
            <w:r>
              <w:rPr>
                <w:rFonts w:hint="eastAsia" w:ascii="宋体" w:hAnsi="宋体" w:eastAsia="宋体" w:cs="宋体"/>
                <w:b/>
                <w:bCs/>
                <w:color w:val="000000"/>
                <w:kern w:val="2"/>
                <w:sz w:val="24"/>
                <w:szCs w:val="24"/>
                <w:highlight w:val="none"/>
                <w:lang w:val="en-US" w:eastAsia="zh-CN" w:bidi="ar"/>
              </w:rPr>
              <w:t>0.8</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5C29F87C">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b/>
                <w:bCs/>
                <w:color w:val="000000"/>
                <w:sz w:val="24"/>
                <w:highlight w:val="none"/>
                <w:u w:val="none"/>
                <w:lang w:eastAsia="zh-CN"/>
              </w:rPr>
            </w:pPr>
            <w:r>
              <w:rPr>
                <w:rFonts w:hint="eastAsia" w:ascii="宋体" w:hAnsi="宋体" w:eastAsia="宋体" w:cs="宋体"/>
                <w:b/>
                <w:bCs/>
                <w:color w:val="000000"/>
                <w:kern w:val="2"/>
                <w:sz w:val="24"/>
                <w:szCs w:val="24"/>
                <w:highlight w:val="none"/>
                <w:lang w:val="en-US" w:eastAsia="zh-CN" w:bidi="ar"/>
              </w:rPr>
              <w:t>0.6</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53AAAD24">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b/>
                <w:bCs/>
                <w:color w:val="000000"/>
                <w:sz w:val="24"/>
                <w:highlight w:val="none"/>
                <w:u w:val="none"/>
                <w:lang w:eastAsia="zh-CN"/>
              </w:rPr>
            </w:pPr>
            <w:r>
              <w:rPr>
                <w:rFonts w:hint="eastAsia" w:ascii="宋体" w:hAnsi="宋体" w:eastAsia="宋体" w:cs="宋体"/>
                <w:b/>
                <w:bCs/>
                <w:color w:val="000000"/>
                <w:kern w:val="2"/>
                <w:sz w:val="24"/>
                <w:szCs w:val="24"/>
                <w:highlight w:val="none"/>
                <w:lang w:val="en-US" w:eastAsia="zh-CN" w:bidi="ar"/>
              </w:rPr>
              <w:t>0.4</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6BD5ACF5">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b/>
                <w:bCs/>
                <w:color w:val="000000"/>
                <w:sz w:val="24"/>
                <w:highlight w:val="none"/>
                <w:u w:val="none"/>
                <w:lang w:eastAsia="zh-CN"/>
              </w:rPr>
            </w:pPr>
            <w:r>
              <w:rPr>
                <w:rFonts w:hint="eastAsia" w:ascii="宋体" w:hAnsi="宋体" w:eastAsia="宋体" w:cs="宋体"/>
                <w:b/>
                <w:bCs/>
                <w:color w:val="000000"/>
                <w:kern w:val="2"/>
                <w:sz w:val="24"/>
                <w:szCs w:val="24"/>
                <w:highlight w:val="none"/>
                <w:lang w:val="en-US" w:eastAsia="zh-CN" w:bidi="ar"/>
              </w:rPr>
              <w:t>0</w:t>
            </w:r>
          </w:p>
        </w:tc>
      </w:tr>
      <w:tr w14:paraId="5BCE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2245" w:type="dxa"/>
            <w:tcBorders>
              <w:top w:val="single" w:color="auto" w:sz="4" w:space="0"/>
              <w:left w:val="single" w:color="auto" w:sz="4" w:space="0"/>
              <w:bottom w:val="single" w:color="auto" w:sz="4" w:space="0"/>
              <w:right w:val="single" w:color="auto" w:sz="4" w:space="0"/>
            </w:tcBorders>
            <w:noWrap w:val="0"/>
            <w:vAlign w:val="center"/>
          </w:tcPr>
          <w:p w14:paraId="113B95D1">
            <w:pPr>
              <w:keepNext w:val="0"/>
              <w:keepLines w:val="0"/>
              <w:pageBreakBefore w:val="0"/>
              <w:widowControl w:val="0"/>
              <w:kinsoku/>
              <w:wordWrap/>
              <w:overflowPunct/>
              <w:topLinePunct w:val="0"/>
              <w:autoSpaceDE/>
              <w:autoSpaceDN/>
              <w:bidi w:val="0"/>
              <w:adjustRightInd/>
              <w:spacing w:after="0" w:line="240" w:lineRule="auto"/>
              <w:jc w:val="center"/>
              <w:textAlignment w:val="auto"/>
              <w:rPr>
                <w:rFonts w:hint="eastAsia" w:ascii="宋体" w:hAnsi="宋体" w:eastAsia="宋体" w:cs="宋体"/>
                <w:color w:val="000000"/>
                <w:sz w:val="24"/>
                <w:highlight w:val="none"/>
                <w:u w:val="none"/>
                <w:lang w:val="en-US" w:eastAsia="zh-CN"/>
              </w:rPr>
            </w:pPr>
            <w:r>
              <w:rPr>
                <w:rFonts w:hint="eastAsia" w:ascii="宋体" w:hAnsi="宋体" w:eastAsia="宋体" w:cs="宋体"/>
                <w:color w:val="000000"/>
                <w:sz w:val="24"/>
                <w:highlight w:val="none"/>
                <w:u w:val="none"/>
                <w:lang w:eastAsia="zh-CN"/>
              </w:rPr>
              <w:t>1000万</w:t>
            </w:r>
            <w:r>
              <w:rPr>
                <w:rFonts w:hint="eastAsia" w:ascii="宋体" w:hAnsi="宋体" w:eastAsia="宋体" w:cs="宋体"/>
                <w:color w:val="000000"/>
                <w:sz w:val="24"/>
                <w:highlight w:val="none"/>
                <w:u w:val="none"/>
                <w:lang w:val="en-US" w:eastAsia="zh-CN"/>
              </w:rPr>
              <w:t>元以下</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198F72AC">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a≤1.5%</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06708919">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1.5%＜a≤2%</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7E69A7D2">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2%＜a≤2.5%</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5D7EDBFB">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2.5%＜a≤3%</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3C65A06F">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a＞3%</w:t>
            </w:r>
          </w:p>
        </w:tc>
      </w:tr>
      <w:tr w14:paraId="17A0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jc w:val="center"/>
        </w:trPr>
        <w:tc>
          <w:tcPr>
            <w:tcW w:w="2245" w:type="dxa"/>
            <w:tcBorders>
              <w:top w:val="single" w:color="auto" w:sz="4" w:space="0"/>
              <w:left w:val="single" w:color="auto" w:sz="4" w:space="0"/>
              <w:bottom w:val="single" w:color="auto" w:sz="4" w:space="0"/>
              <w:right w:val="single" w:color="auto" w:sz="4" w:space="0"/>
            </w:tcBorders>
            <w:noWrap w:val="0"/>
            <w:vAlign w:val="center"/>
          </w:tcPr>
          <w:p w14:paraId="6FB19567">
            <w:pPr>
              <w:keepNext w:val="0"/>
              <w:keepLines w:val="0"/>
              <w:pageBreakBefore w:val="0"/>
              <w:widowControl w:val="0"/>
              <w:kinsoku/>
              <w:wordWrap/>
              <w:overflowPunct/>
              <w:topLinePunct w:val="0"/>
              <w:autoSpaceDE/>
              <w:autoSpaceDN/>
              <w:bidi w:val="0"/>
              <w:adjustRightInd/>
              <w:spacing w:after="0" w:line="240" w:lineRule="auto"/>
              <w:jc w:val="center"/>
              <w:textAlignment w:val="auto"/>
              <w:rPr>
                <w:rFonts w:hint="eastAsia" w:ascii="宋体" w:hAnsi="宋体" w:eastAsia="宋体" w:cs="宋体"/>
                <w:color w:val="000000"/>
                <w:sz w:val="24"/>
                <w:highlight w:val="none"/>
                <w:u w:val="none"/>
                <w:lang w:val="en-US" w:eastAsia="zh-CN"/>
              </w:rPr>
            </w:pPr>
            <w:r>
              <w:rPr>
                <w:rFonts w:hint="eastAsia" w:ascii="宋体" w:hAnsi="宋体" w:eastAsia="宋体" w:cs="宋体"/>
                <w:color w:val="000000"/>
                <w:sz w:val="24"/>
                <w:highlight w:val="none"/>
                <w:u w:val="none"/>
                <w:lang w:val="en-US" w:eastAsia="zh-CN"/>
              </w:rPr>
              <w:t>1000万元（含）-5000万元（不含）</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3F36C3FF">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a≤1%</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3C011407">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1%＜a≤1.5%</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77464761">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1.5%＜a≤2%</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63A678F3">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2%＜a≤2.5%</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244555C1">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a＞2.5%</w:t>
            </w:r>
          </w:p>
        </w:tc>
      </w:tr>
      <w:tr w14:paraId="2F563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2245" w:type="dxa"/>
            <w:tcBorders>
              <w:top w:val="single" w:color="auto" w:sz="4" w:space="0"/>
              <w:left w:val="single" w:color="auto" w:sz="4" w:space="0"/>
              <w:bottom w:val="single" w:color="auto" w:sz="4" w:space="0"/>
              <w:right w:val="single" w:color="auto" w:sz="4" w:space="0"/>
            </w:tcBorders>
            <w:noWrap w:val="0"/>
            <w:vAlign w:val="center"/>
          </w:tcPr>
          <w:p w14:paraId="40159CCE">
            <w:pPr>
              <w:keepNext w:val="0"/>
              <w:keepLines w:val="0"/>
              <w:pageBreakBefore w:val="0"/>
              <w:widowControl w:val="0"/>
              <w:kinsoku/>
              <w:wordWrap/>
              <w:overflowPunct/>
              <w:topLinePunct w:val="0"/>
              <w:autoSpaceDE/>
              <w:autoSpaceDN/>
              <w:bidi w:val="0"/>
              <w:adjustRightInd/>
              <w:spacing w:after="0" w:line="240" w:lineRule="auto"/>
              <w:jc w:val="center"/>
              <w:textAlignment w:val="auto"/>
              <w:rPr>
                <w:rFonts w:hint="eastAsia" w:ascii="宋体" w:hAnsi="宋体" w:eastAsia="宋体" w:cs="宋体"/>
                <w:color w:val="000000"/>
                <w:sz w:val="24"/>
                <w:highlight w:val="none"/>
                <w:u w:val="none"/>
                <w:lang w:val="en-US" w:eastAsia="zh-CN"/>
              </w:rPr>
            </w:pPr>
            <w:r>
              <w:rPr>
                <w:rFonts w:hint="eastAsia" w:ascii="宋体" w:hAnsi="宋体" w:eastAsia="宋体" w:cs="宋体"/>
                <w:color w:val="000000"/>
                <w:sz w:val="24"/>
                <w:highlight w:val="none"/>
                <w:u w:val="none"/>
                <w:lang w:val="en-US" w:eastAsia="zh-CN"/>
              </w:rPr>
              <w:t>5000万元以上</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6414559E">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a≤0.5%</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0B935AED">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0.5%＜a≤1%</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7FB7375C">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1%＜a≤1.5%</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5C2E8397">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1.5%＜a≤2%</w:t>
            </w:r>
          </w:p>
        </w:tc>
        <w:tc>
          <w:tcPr>
            <w:tcW w:w="1303" w:type="dxa"/>
            <w:tcBorders>
              <w:top w:val="single" w:color="auto" w:sz="4" w:space="0"/>
              <w:left w:val="single" w:color="auto" w:sz="4" w:space="0"/>
              <w:bottom w:val="single" w:color="auto" w:sz="4" w:space="0"/>
              <w:right w:val="single" w:color="auto" w:sz="4" w:space="0"/>
            </w:tcBorders>
            <w:noWrap w:val="0"/>
            <w:vAlign w:val="center"/>
          </w:tcPr>
          <w:p w14:paraId="6C4FE6F6">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40" w:lineRule="auto"/>
              <w:ind w:left="0" w:leftChars="0" w:right="0" w:rightChars="0"/>
              <w:jc w:val="center"/>
              <w:textAlignment w:val="auto"/>
              <w:rPr>
                <w:rFonts w:hint="eastAsia" w:ascii="宋体" w:hAnsi="宋体" w:eastAsia="宋体" w:cs="宋体"/>
                <w:color w:val="000000"/>
                <w:sz w:val="24"/>
                <w:highlight w:val="none"/>
                <w:u w:val="none"/>
                <w:lang w:eastAsia="zh-CN"/>
              </w:rPr>
            </w:pPr>
            <w:r>
              <w:rPr>
                <w:rFonts w:hint="eastAsia" w:ascii="宋体" w:hAnsi="宋体" w:eastAsia="宋体" w:cs="宋体"/>
                <w:color w:val="000000"/>
                <w:kern w:val="2"/>
                <w:sz w:val="24"/>
                <w:szCs w:val="24"/>
                <w:highlight w:val="none"/>
                <w:lang w:val="en-US" w:eastAsia="zh-CN" w:bidi="ar"/>
              </w:rPr>
              <w:t>a＞2%</w:t>
            </w:r>
          </w:p>
        </w:tc>
      </w:tr>
    </w:tbl>
    <w:p w14:paraId="1EB05318">
      <w:pPr>
        <w:spacing w:line="360" w:lineRule="auto"/>
        <w:ind w:firstLine="480" w:firstLineChars="200"/>
        <w:jc w:val="left"/>
        <w:rPr>
          <w:rFonts w:hint="eastAsia" w:ascii="宋体" w:hAnsi="宋体" w:eastAsia="宋体" w:cs="宋体"/>
          <w:color w:val="000000"/>
          <w:sz w:val="24"/>
          <w:highlight w:val="none"/>
          <w:u w:val="none"/>
          <w:lang w:val="en-US" w:eastAsia="zh-CN"/>
        </w:rPr>
      </w:pPr>
      <w:r>
        <w:rPr>
          <w:rFonts w:hint="eastAsia" w:ascii="宋体" w:hAnsi="宋体" w:eastAsia="宋体" w:cs="宋体"/>
          <w:color w:val="000000"/>
          <w:sz w:val="24"/>
          <w:highlight w:val="none"/>
          <w:u w:val="none"/>
          <w:lang w:val="en-US" w:eastAsia="zh-CN"/>
        </w:rPr>
        <w:t>注：误差率a=（初审价-终审价）/终审价，结果取绝对值四舍五入。</w:t>
      </w:r>
    </w:p>
    <w:p w14:paraId="6FBA6F58">
      <w:pPr>
        <w:spacing w:line="360" w:lineRule="auto"/>
        <w:ind w:left="0" w:leftChars="0"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2、正常酬金支付方式</w:t>
      </w:r>
    </w:p>
    <w:p w14:paraId="50D14E21">
      <w:pPr>
        <w:spacing w:line="360" w:lineRule="auto"/>
        <w:ind w:left="0" w:leftChars="0" w:firstLine="480" w:firstLineChars="200"/>
        <w:rPr>
          <w:rFonts w:hint="eastAsia" w:ascii="宋体" w:hAnsi="宋体" w:eastAsia="宋体" w:cs="宋体"/>
          <w:b w:val="0"/>
          <w:bCs w:val="0"/>
          <w:color w:val="000000"/>
          <w:sz w:val="24"/>
          <w:highlight w:val="none"/>
          <w:lang w:val="en-US" w:eastAsia="zh-CN"/>
        </w:rPr>
      </w:pPr>
      <w:r>
        <w:rPr>
          <w:rFonts w:hint="eastAsia" w:ascii="宋体" w:hAnsi="宋体" w:eastAsia="宋体" w:cs="宋体"/>
          <w:b w:val="0"/>
          <w:bCs w:val="0"/>
          <w:color w:val="000000"/>
          <w:sz w:val="24"/>
          <w:highlight w:val="none"/>
          <w:lang w:val="en-US" w:eastAsia="zh-CN"/>
        </w:rPr>
        <w:t>待工程竣工</w:t>
      </w:r>
      <w:r>
        <w:rPr>
          <w:rFonts w:hint="default" w:ascii="宋体" w:hAnsi="宋体" w:eastAsia="宋体" w:cs="宋体"/>
          <w:b w:val="0"/>
          <w:bCs w:val="0"/>
          <w:color w:val="000000"/>
          <w:sz w:val="24"/>
          <w:highlight w:val="none"/>
          <w:lang w:eastAsia="zh-CN"/>
        </w:rPr>
        <w:t>结算审计最终完成</w:t>
      </w:r>
      <w:r>
        <w:rPr>
          <w:rFonts w:hint="eastAsia" w:ascii="宋体" w:hAnsi="宋体" w:eastAsia="宋体" w:cs="宋体"/>
          <w:b w:val="0"/>
          <w:bCs w:val="0"/>
          <w:color w:val="000000"/>
          <w:sz w:val="24"/>
          <w:highlight w:val="none"/>
          <w:lang w:val="en-US" w:eastAsia="zh-CN"/>
        </w:rPr>
        <w:t>且咨询人开具增值税专用发票（税率为</w:t>
      </w:r>
      <w:r>
        <w:rPr>
          <w:rFonts w:hint="eastAsia" w:ascii="宋体" w:hAnsi="宋体" w:eastAsia="宋体" w:cs="宋体"/>
          <w:b w:val="0"/>
          <w:bCs w:val="0"/>
          <w:color w:val="000000"/>
          <w:sz w:val="24"/>
          <w:highlight w:val="none"/>
          <w:u w:val="single"/>
          <w:lang w:val="en-US" w:eastAsia="zh-CN"/>
        </w:rPr>
        <w:t xml:space="preserve">    </w:t>
      </w:r>
      <w:r>
        <w:rPr>
          <w:rFonts w:hint="eastAsia" w:ascii="宋体" w:hAnsi="宋体" w:eastAsia="宋体" w:cs="宋体"/>
          <w:b w:val="0"/>
          <w:bCs w:val="0"/>
          <w:color w:val="000000"/>
          <w:sz w:val="24"/>
          <w:highlight w:val="none"/>
          <w:lang w:val="en-US" w:eastAsia="zh-CN"/>
        </w:rPr>
        <w:t>%）后30个工作日内一次性支付。</w:t>
      </w:r>
    </w:p>
    <w:p w14:paraId="17C5A5A8">
      <w:pPr>
        <w:spacing w:line="360" w:lineRule="auto"/>
        <w:ind w:left="0" w:leftChars="0" w:firstLine="480" w:firstLineChars="200"/>
        <w:rPr>
          <w:rFonts w:hint="eastAsia" w:ascii="宋体" w:hAnsi="宋体" w:eastAsia="宋体" w:cs="宋体"/>
          <w:b w:val="0"/>
          <w:bCs w:val="0"/>
          <w:color w:val="000000"/>
          <w:sz w:val="24"/>
          <w:highlight w:val="none"/>
          <w:lang w:val="en-US" w:eastAsia="zh-CN"/>
        </w:rPr>
      </w:pPr>
      <w:r>
        <w:rPr>
          <w:rFonts w:hint="eastAsia" w:ascii="宋体" w:hAnsi="宋体" w:eastAsia="宋体" w:cs="宋体"/>
          <w:b w:val="0"/>
          <w:bCs w:val="0"/>
          <w:color w:val="000000"/>
          <w:sz w:val="24"/>
          <w:highlight w:val="none"/>
          <w:lang w:val="en-US" w:eastAsia="zh-CN"/>
        </w:rPr>
        <w:t>若咨询人要求将酬金汇入其分公司帐户，则必须提供其母公司授权委托手续。</w:t>
      </w:r>
    </w:p>
    <w:p w14:paraId="3CF3D59A">
      <w:pPr>
        <w:spacing w:line="360" w:lineRule="auto"/>
        <w:ind w:left="0" w:leftChars="0" w:firstLine="482" w:firstLineChars="200"/>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val="en-US" w:eastAsia="zh-CN"/>
        </w:rPr>
        <w:t>九</w:t>
      </w:r>
      <w:r>
        <w:rPr>
          <w:rFonts w:hint="eastAsia" w:ascii="宋体" w:hAnsi="宋体" w:eastAsia="宋体" w:cs="宋体"/>
          <w:b/>
          <w:color w:val="000000"/>
          <w:sz w:val="24"/>
          <w:highlight w:val="none"/>
          <w:lang w:eastAsia="zh-CN"/>
        </w:rPr>
        <w:t xml:space="preserve">条 </w:t>
      </w:r>
      <w:r>
        <w:rPr>
          <w:rFonts w:hint="eastAsia" w:ascii="宋体" w:hAnsi="宋体" w:eastAsia="宋体" w:cs="宋体"/>
          <w:color w:val="000000"/>
          <w:sz w:val="24"/>
          <w:highlight w:val="none"/>
        </w:rPr>
        <w:t>双方同意用</w:t>
      </w:r>
      <w:r>
        <w:rPr>
          <w:rFonts w:hint="eastAsia" w:ascii="宋体" w:hAnsi="宋体" w:eastAsia="宋体" w:cs="宋体"/>
          <w:color w:val="000000"/>
          <w:sz w:val="24"/>
          <w:highlight w:val="none"/>
          <w:u w:val="single"/>
          <w:lang w:val="en-US" w:eastAsia="zh-CN"/>
        </w:rPr>
        <w:t>人民币</w:t>
      </w:r>
      <w:r>
        <w:rPr>
          <w:rFonts w:hint="eastAsia" w:ascii="宋体" w:hAnsi="宋体" w:eastAsia="宋体" w:cs="宋体"/>
          <w:color w:val="000000"/>
          <w:sz w:val="24"/>
          <w:highlight w:val="none"/>
        </w:rPr>
        <w:t>支付酬金。</w:t>
      </w:r>
    </w:p>
    <w:p w14:paraId="2895585D">
      <w:pPr>
        <w:spacing w:line="360" w:lineRule="auto"/>
        <w:ind w:left="0" w:leftChars="0" w:firstLine="482" w:firstLineChars="200"/>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val="en-US" w:eastAsia="zh-CN"/>
        </w:rPr>
        <w:t>十</w:t>
      </w:r>
      <w:r>
        <w:rPr>
          <w:rFonts w:hint="eastAsia" w:ascii="宋体" w:hAnsi="宋体" w:eastAsia="宋体" w:cs="宋体"/>
          <w:b/>
          <w:color w:val="000000"/>
          <w:sz w:val="24"/>
          <w:highlight w:val="none"/>
          <w:lang w:eastAsia="zh-CN"/>
        </w:rPr>
        <w:t xml:space="preserve">条 </w:t>
      </w:r>
      <w:r>
        <w:rPr>
          <w:rFonts w:hint="eastAsia" w:ascii="宋体" w:hAnsi="宋体" w:eastAsia="宋体" w:cs="宋体"/>
          <w:color w:val="000000"/>
          <w:sz w:val="24"/>
          <w:highlight w:val="none"/>
        </w:rPr>
        <w:t>咨询人依据造价行业主管部门及国家有关规定及要求开展造价咨询工作，咨询质量满足委托方及行业主管的要求。咨询人提交的咨询成果报告须文字清晰整齐，有较强的可复查性。为保证咨询质量，委托人与咨询人约定奖罚条款如下：</w:t>
      </w:r>
    </w:p>
    <w:p w14:paraId="4E721013">
      <w:pPr>
        <w:spacing w:line="360" w:lineRule="auto"/>
        <w:ind w:left="0" w:leftChars="0"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1、服务质量：</w:t>
      </w:r>
      <w:r>
        <w:rPr>
          <w:rFonts w:hint="eastAsia" w:ascii="宋体" w:hAnsi="宋体" w:eastAsia="宋体" w:cs="宋体"/>
          <w:color w:val="000000"/>
          <w:sz w:val="24"/>
          <w:highlight w:val="none"/>
          <w:lang w:val="en-US" w:eastAsia="zh-CN"/>
        </w:rPr>
        <w:t>咨询人</w:t>
      </w:r>
      <w:r>
        <w:rPr>
          <w:rFonts w:hint="eastAsia" w:ascii="宋体" w:hAnsi="宋体" w:eastAsia="宋体" w:cs="宋体"/>
          <w:color w:val="000000"/>
          <w:sz w:val="24"/>
          <w:highlight w:val="none"/>
        </w:rPr>
        <w:t>应配备专业技术人员，及时高效处理</w:t>
      </w:r>
      <w:r>
        <w:rPr>
          <w:rFonts w:hint="eastAsia" w:ascii="宋体" w:hAnsi="宋体" w:eastAsia="宋体" w:cs="宋体"/>
          <w:color w:val="000000"/>
          <w:sz w:val="24"/>
          <w:highlight w:val="none"/>
          <w:lang w:val="en-US" w:eastAsia="zh-CN"/>
        </w:rPr>
        <w:t>造价咨询</w:t>
      </w:r>
      <w:r>
        <w:rPr>
          <w:rFonts w:hint="eastAsia" w:ascii="宋体" w:hAnsi="宋体" w:eastAsia="宋体" w:cs="宋体"/>
          <w:color w:val="000000"/>
          <w:sz w:val="24"/>
          <w:highlight w:val="none"/>
        </w:rPr>
        <w:t>问题。如委托人对</w:t>
      </w:r>
      <w:r>
        <w:rPr>
          <w:rFonts w:hint="eastAsia" w:ascii="宋体" w:hAnsi="宋体" w:eastAsia="宋体" w:cs="宋体"/>
          <w:color w:val="000000"/>
          <w:sz w:val="24"/>
          <w:highlight w:val="none"/>
          <w:lang w:val="en-US" w:eastAsia="zh-CN"/>
        </w:rPr>
        <w:t>咨询人</w:t>
      </w:r>
      <w:r>
        <w:rPr>
          <w:rFonts w:hint="eastAsia" w:ascii="宋体" w:hAnsi="宋体" w:eastAsia="宋体" w:cs="宋体"/>
          <w:color w:val="000000"/>
          <w:sz w:val="24"/>
          <w:highlight w:val="none"/>
        </w:rPr>
        <w:t>提出不达标或服务质量差意见，委托人有权撤换该单位。</w:t>
      </w:r>
    </w:p>
    <w:p w14:paraId="77B901AD">
      <w:pPr>
        <w:spacing w:line="360" w:lineRule="auto"/>
        <w:ind w:left="0" w:leftChars="0"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w:t>
      </w:r>
      <w:r>
        <w:rPr>
          <w:rFonts w:hint="eastAsia" w:ascii="宋体" w:hAnsi="宋体" w:eastAsia="宋体" w:cs="宋体"/>
          <w:color w:val="000000"/>
          <w:sz w:val="24"/>
          <w:highlight w:val="none"/>
          <w:lang w:val="en-US" w:eastAsia="zh-CN"/>
        </w:rPr>
        <w:t>跟踪审计项目负责人及其他驻场人员，在合同服务期内不得擅自更换，业主现场实行考勤制度，项目驻场人员每周不少于5天，每缺勤一天罚1000元/天·人次。项目负责人每周至少出勤1天，每缺勤一天罚2000元/天，以现场记录为准；否则，委托人有权单方终止其审核合同并扣减其服务费用直至为零，咨询人承诺不因自身问题导致服务费用被扣而向委托人主张任何权利</w:t>
      </w:r>
      <w:r>
        <w:rPr>
          <w:rFonts w:hint="eastAsia" w:ascii="宋体" w:hAnsi="宋体" w:eastAsia="宋体" w:cs="宋体"/>
          <w:color w:val="000000"/>
          <w:sz w:val="24"/>
          <w:highlight w:val="none"/>
        </w:rPr>
        <w:t>。</w:t>
      </w:r>
    </w:p>
    <w:p w14:paraId="4D456A78">
      <w:pPr>
        <w:spacing w:line="360" w:lineRule="auto"/>
        <w:ind w:left="0" w:leftChars="0"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3、如因咨询</w:t>
      </w:r>
      <w:r>
        <w:rPr>
          <w:rFonts w:hint="eastAsia" w:ascii="宋体" w:hAnsi="宋体" w:eastAsia="宋体" w:cs="宋体"/>
          <w:color w:val="000000"/>
          <w:sz w:val="24"/>
          <w:highlight w:val="none"/>
          <w:lang w:val="en-US" w:eastAsia="zh-CN"/>
        </w:rPr>
        <w:t>人</w:t>
      </w:r>
      <w:r>
        <w:rPr>
          <w:rFonts w:hint="eastAsia" w:ascii="宋体" w:hAnsi="宋体" w:eastAsia="宋体" w:cs="宋体"/>
          <w:color w:val="000000"/>
          <w:sz w:val="24"/>
          <w:highlight w:val="none"/>
        </w:rPr>
        <w:t>工作原因导致工程项目损失，</w:t>
      </w:r>
      <w:r>
        <w:rPr>
          <w:rFonts w:hint="eastAsia" w:ascii="宋体" w:hAnsi="宋体" w:eastAsia="宋体" w:cs="宋体"/>
          <w:color w:val="000000"/>
          <w:sz w:val="24"/>
          <w:highlight w:val="none"/>
          <w:lang w:val="en-US" w:eastAsia="zh-CN"/>
        </w:rPr>
        <w:t>委托人</w:t>
      </w:r>
      <w:r>
        <w:rPr>
          <w:rFonts w:hint="eastAsia" w:ascii="宋体" w:hAnsi="宋体" w:eastAsia="宋体" w:cs="宋体"/>
          <w:color w:val="000000"/>
          <w:sz w:val="24"/>
          <w:highlight w:val="none"/>
        </w:rPr>
        <w:t>有权要求</w:t>
      </w:r>
      <w:r>
        <w:rPr>
          <w:rFonts w:hint="eastAsia" w:ascii="宋体" w:hAnsi="宋体" w:eastAsia="宋体" w:cs="宋体"/>
          <w:color w:val="000000"/>
          <w:sz w:val="24"/>
          <w:highlight w:val="none"/>
          <w:lang w:val="en-US" w:eastAsia="zh-CN"/>
        </w:rPr>
        <w:t>咨询</w:t>
      </w:r>
      <w:r>
        <w:rPr>
          <w:rFonts w:hint="eastAsia" w:ascii="宋体" w:hAnsi="宋体" w:eastAsia="宋体" w:cs="宋体"/>
          <w:color w:val="000000"/>
          <w:sz w:val="24"/>
          <w:highlight w:val="none"/>
        </w:rPr>
        <w:t>单位进行经济赔偿，或直接从咨询服务费中扣除。</w:t>
      </w:r>
    </w:p>
    <w:p w14:paraId="09AA0D04">
      <w:pPr>
        <w:spacing w:line="360" w:lineRule="auto"/>
        <w:ind w:left="0" w:leftChars="0"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4、咨询</w:t>
      </w:r>
      <w:r>
        <w:rPr>
          <w:rFonts w:hint="eastAsia" w:ascii="宋体" w:hAnsi="宋体" w:eastAsia="宋体" w:cs="宋体"/>
          <w:color w:val="000000"/>
          <w:sz w:val="24"/>
          <w:highlight w:val="none"/>
          <w:lang w:val="en-US" w:eastAsia="zh-CN"/>
        </w:rPr>
        <w:t>人</w:t>
      </w:r>
      <w:r>
        <w:rPr>
          <w:rFonts w:hint="eastAsia" w:ascii="宋体" w:hAnsi="宋体" w:eastAsia="宋体" w:cs="宋体"/>
          <w:color w:val="000000"/>
          <w:sz w:val="24"/>
          <w:highlight w:val="none"/>
        </w:rPr>
        <w:t>须保证工作人员资质及技术力量满足工程需要，</w:t>
      </w:r>
      <w:r>
        <w:rPr>
          <w:rFonts w:hint="eastAsia" w:ascii="宋体" w:hAnsi="宋体" w:eastAsia="宋体" w:cs="宋体"/>
          <w:color w:val="000000"/>
          <w:sz w:val="24"/>
          <w:highlight w:val="none"/>
          <w:lang w:val="en-US" w:eastAsia="zh-CN"/>
        </w:rPr>
        <w:t>跟踪审计过程</w:t>
      </w:r>
      <w:r>
        <w:rPr>
          <w:rFonts w:hint="eastAsia" w:ascii="宋体" w:hAnsi="宋体" w:eastAsia="宋体" w:cs="宋体"/>
          <w:color w:val="000000"/>
          <w:sz w:val="24"/>
          <w:highlight w:val="none"/>
        </w:rPr>
        <w:t>中未经建设单位书面同意擅自更换人员罚10000元/人次</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擅自更换负责人的罚50000元/人次。</w:t>
      </w:r>
    </w:p>
    <w:p w14:paraId="59693A1F">
      <w:pPr>
        <w:spacing w:line="360" w:lineRule="auto"/>
        <w:ind w:firstLine="482" w:firstLineChars="200"/>
        <w:rPr>
          <w:rFonts w:hint="eastAsia" w:ascii="宋体" w:hAnsi="宋体" w:eastAsia="宋体" w:cs="宋体"/>
          <w:b/>
          <w:bCs/>
          <w:color w:val="000000"/>
          <w:sz w:val="24"/>
          <w:highlight w:val="none"/>
          <w:u w:val="single"/>
          <w:lang w:eastAsia="zh-CN"/>
        </w:rPr>
      </w:pPr>
      <w:r>
        <w:rPr>
          <w:rFonts w:hint="eastAsia" w:ascii="宋体" w:hAnsi="宋体" w:eastAsia="宋体" w:cs="宋体"/>
          <w:b/>
          <w:bCs/>
          <w:color w:val="000000"/>
          <w:sz w:val="24"/>
          <w:highlight w:val="none"/>
          <w:u w:val="single"/>
          <w:lang w:val="en-US" w:eastAsia="zh-CN"/>
        </w:rPr>
        <w:t>5、委托人将对咨询人进行履约考核，按照优（91-100分）、良（81-90分）、中（71-80分）、差（70分及以下）四个等级对咨询人进行评价，并可根据考核结果进行相应经济处罚，必要时可将考核评价结果报送当地工程造价主管部门。</w:t>
      </w:r>
    </w:p>
    <w:p w14:paraId="6532F883">
      <w:pPr>
        <w:spacing w:line="360" w:lineRule="auto"/>
        <w:ind w:left="0" w:leftChars="0" w:firstLine="482" w:firstLineChars="200"/>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第十</w:t>
      </w:r>
      <w:r>
        <w:rPr>
          <w:rFonts w:hint="eastAsia" w:ascii="宋体" w:hAnsi="宋体" w:eastAsia="宋体" w:cs="宋体"/>
          <w:b/>
          <w:color w:val="000000"/>
          <w:sz w:val="24"/>
          <w:highlight w:val="none"/>
          <w:lang w:val="en-US" w:eastAsia="zh-CN"/>
        </w:rPr>
        <w:t>一</w:t>
      </w:r>
      <w:r>
        <w:rPr>
          <w:rFonts w:hint="eastAsia" w:ascii="宋体" w:hAnsi="宋体" w:eastAsia="宋体" w:cs="宋体"/>
          <w:b/>
          <w:color w:val="000000"/>
          <w:sz w:val="24"/>
          <w:highlight w:val="none"/>
          <w:lang w:eastAsia="zh-CN"/>
        </w:rPr>
        <w:t xml:space="preserve">条 </w:t>
      </w:r>
      <w:r>
        <w:rPr>
          <w:rFonts w:hint="eastAsia" w:ascii="宋体" w:hAnsi="宋体" w:eastAsia="宋体" w:cs="宋体"/>
          <w:color w:val="000000"/>
          <w:sz w:val="24"/>
          <w:highlight w:val="none"/>
        </w:rPr>
        <w:t>建设工程造价咨询合同在履行过程中发生争议，委托人与咨询人应及时协商解决；如未能达成一致，可提交有关主管部门调解；协商或调解不成的，依法向</w:t>
      </w:r>
      <w:r>
        <w:rPr>
          <w:rFonts w:hint="eastAsia" w:ascii="宋体" w:hAnsi="宋体" w:eastAsia="宋体" w:cs="宋体"/>
          <w:color w:val="000000"/>
          <w:sz w:val="24"/>
          <w:highlight w:val="none"/>
          <w:u w:val="single"/>
          <w:lang w:val="en-US" w:eastAsia="zh-CN"/>
        </w:rPr>
        <w:t>连云港市赣榆区</w:t>
      </w:r>
      <w:r>
        <w:rPr>
          <w:rFonts w:hint="eastAsia" w:ascii="宋体" w:hAnsi="宋体" w:eastAsia="宋体" w:cs="宋体"/>
          <w:color w:val="000000"/>
          <w:sz w:val="24"/>
          <w:highlight w:val="none"/>
        </w:rPr>
        <w:t>人民法院起诉。</w:t>
      </w:r>
    </w:p>
    <w:p w14:paraId="266E64C6">
      <w:pPr>
        <w:spacing w:line="360" w:lineRule="auto"/>
        <w:ind w:left="0" w:leftChars="0" w:firstLine="482" w:firstLineChars="200"/>
        <w:rPr>
          <w:rFonts w:hint="eastAsia" w:ascii="宋体" w:hAnsi="宋体" w:eastAsia="宋体" w:cs="宋体"/>
          <w:b/>
          <w:color w:val="000000"/>
          <w:sz w:val="24"/>
          <w:highlight w:val="none"/>
          <w:lang w:val="en-US" w:eastAsia="zh-CN"/>
        </w:rPr>
      </w:pPr>
      <w:r>
        <w:rPr>
          <w:rFonts w:hint="eastAsia" w:ascii="宋体" w:hAnsi="宋体" w:eastAsia="宋体" w:cs="宋体"/>
          <w:b/>
          <w:color w:val="000000"/>
          <w:sz w:val="24"/>
          <w:highlight w:val="none"/>
          <w:lang w:val="en-US" w:eastAsia="zh-CN"/>
        </w:rPr>
        <w:t>附加协议条款：</w:t>
      </w:r>
    </w:p>
    <w:p w14:paraId="0FF7D689">
      <w:pPr>
        <w:numPr>
          <w:ilvl w:val="0"/>
          <w:numId w:val="2"/>
        </w:numPr>
        <w:spacing w:line="360" w:lineRule="auto"/>
        <w:ind w:firstLine="480" w:firstLineChars="200"/>
        <w:jc w:val="both"/>
        <w:rPr>
          <w:rFonts w:hint="eastAsia" w:ascii="宋体" w:hAnsi="宋体" w:eastAsia="宋体" w:cs="宋体"/>
          <w:b w:val="0"/>
          <w:bCs w:val="0"/>
          <w:color w:val="000000"/>
          <w:kern w:val="2"/>
          <w:sz w:val="24"/>
          <w:szCs w:val="24"/>
          <w:highlight w:val="none"/>
          <w:u w:val="single"/>
          <w:lang w:val="en-US" w:eastAsia="zh-CN" w:bidi="ar-SA"/>
        </w:rPr>
      </w:pPr>
      <w:r>
        <w:rPr>
          <w:rFonts w:hint="eastAsia" w:ascii="宋体" w:hAnsi="宋体" w:eastAsia="宋体" w:cs="宋体"/>
          <w:b w:val="0"/>
          <w:bCs w:val="0"/>
          <w:color w:val="000000"/>
          <w:kern w:val="2"/>
          <w:sz w:val="24"/>
          <w:szCs w:val="24"/>
          <w:highlight w:val="none"/>
          <w:u w:val="single"/>
          <w:lang w:val="en-US" w:eastAsia="zh-CN" w:bidi="ar-SA"/>
        </w:rPr>
        <w:t>结算审核结束后，须移交全部档案资料，包括但不限于以下内容：竣工结算审核初稿、双方核对意见编制结算报告（核对稿）、最终审核意见竣工结算报告终稿（包括编制目录及说明、与报审单位核对完成的变更、洽商、签证费用明细、组价明细及结算书等）。所有成果文件计算底稿均须书面提供，并提供可编辑的电子文件。</w:t>
      </w:r>
    </w:p>
    <w:p w14:paraId="259E040C">
      <w:pPr>
        <w:numPr>
          <w:ilvl w:val="0"/>
          <w:numId w:val="2"/>
        </w:numPr>
        <w:spacing w:line="360" w:lineRule="auto"/>
        <w:ind w:firstLine="480" w:firstLineChars="200"/>
        <w:jc w:val="both"/>
        <w:rPr>
          <w:rFonts w:hint="eastAsia" w:ascii="宋体" w:hAnsi="宋体" w:eastAsia="宋体" w:cs="宋体"/>
          <w:b w:val="0"/>
          <w:bCs w:val="0"/>
          <w:color w:val="000000"/>
          <w:kern w:val="2"/>
          <w:sz w:val="24"/>
          <w:szCs w:val="24"/>
          <w:highlight w:val="none"/>
          <w:u w:val="single"/>
        </w:rPr>
      </w:pPr>
      <w:r>
        <w:rPr>
          <w:rFonts w:hint="eastAsia" w:ascii="宋体" w:hAnsi="宋体" w:eastAsia="宋体" w:cs="宋体"/>
          <w:b w:val="0"/>
          <w:bCs w:val="0"/>
          <w:color w:val="000000"/>
          <w:kern w:val="2"/>
          <w:sz w:val="24"/>
          <w:szCs w:val="24"/>
          <w:highlight w:val="none"/>
          <w:u w:val="single"/>
        </w:rPr>
        <w:t>在</w:t>
      </w:r>
      <w:r>
        <w:rPr>
          <w:rFonts w:hint="eastAsia" w:ascii="宋体" w:hAnsi="宋体" w:eastAsia="宋体" w:cs="宋体"/>
          <w:b w:val="0"/>
          <w:bCs w:val="0"/>
          <w:color w:val="000000"/>
          <w:kern w:val="2"/>
          <w:sz w:val="24"/>
          <w:szCs w:val="24"/>
          <w:highlight w:val="none"/>
          <w:u w:val="single"/>
          <w:lang w:val="en-US" w:eastAsia="zh-CN"/>
        </w:rPr>
        <w:t>结算</w:t>
      </w:r>
      <w:r>
        <w:rPr>
          <w:rFonts w:hint="eastAsia" w:ascii="宋体" w:hAnsi="宋体" w:eastAsia="宋体" w:cs="宋体"/>
          <w:b w:val="0"/>
          <w:bCs w:val="0"/>
          <w:color w:val="000000"/>
          <w:kern w:val="2"/>
          <w:sz w:val="24"/>
          <w:szCs w:val="24"/>
          <w:highlight w:val="none"/>
          <w:u w:val="single"/>
          <w:lang w:eastAsia="zh-CN"/>
        </w:rPr>
        <w:t>审核</w:t>
      </w:r>
      <w:r>
        <w:rPr>
          <w:rFonts w:hint="eastAsia" w:ascii="宋体" w:hAnsi="宋体" w:eastAsia="宋体" w:cs="宋体"/>
          <w:b w:val="0"/>
          <w:bCs w:val="0"/>
          <w:color w:val="000000"/>
          <w:kern w:val="2"/>
          <w:sz w:val="24"/>
          <w:szCs w:val="24"/>
          <w:highlight w:val="none"/>
          <w:u w:val="single"/>
        </w:rPr>
        <w:t>过程中若发生咨询人与施工单位相互串通作假抬高相关费用给委托人造成损失和带来不良影响的，委托人有权单方终止其</w:t>
      </w:r>
      <w:r>
        <w:rPr>
          <w:rFonts w:hint="eastAsia" w:ascii="宋体" w:hAnsi="宋体" w:eastAsia="宋体" w:cs="宋体"/>
          <w:b w:val="0"/>
          <w:bCs w:val="0"/>
          <w:color w:val="000000"/>
          <w:kern w:val="2"/>
          <w:sz w:val="24"/>
          <w:szCs w:val="24"/>
          <w:highlight w:val="none"/>
          <w:u w:val="single"/>
          <w:lang w:eastAsia="zh-CN"/>
        </w:rPr>
        <w:t>审核</w:t>
      </w:r>
      <w:r>
        <w:rPr>
          <w:rFonts w:hint="eastAsia" w:ascii="宋体" w:hAnsi="宋体" w:eastAsia="宋体" w:cs="宋体"/>
          <w:b w:val="0"/>
          <w:bCs w:val="0"/>
          <w:color w:val="000000"/>
          <w:kern w:val="2"/>
          <w:sz w:val="24"/>
          <w:szCs w:val="24"/>
          <w:highlight w:val="none"/>
          <w:u w:val="single"/>
        </w:rPr>
        <w:t>合同并扣减其服务费用直至为零，咨询人承诺不因自身过错导致服务费用被扣而向委托人主张任何权利。</w:t>
      </w:r>
    </w:p>
    <w:p w14:paraId="4C1E50D0">
      <w:pPr>
        <w:numPr>
          <w:ilvl w:val="0"/>
          <w:numId w:val="2"/>
        </w:numPr>
        <w:spacing w:line="360" w:lineRule="auto"/>
        <w:ind w:firstLine="480" w:firstLineChars="200"/>
        <w:jc w:val="both"/>
        <w:rPr>
          <w:rFonts w:hint="eastAsia" w:ascii="宋体" w:hAnsi="宋体" w:eastAsia="宋体" w:cs="宋体"/>
          <w:b w:val="0"/>
          <w:bCs w:val="0"/>
          <w:color w:val="000000"/>
          <w:kern w:val="2"/>
          <w:sz w:val="24"/>
          <w:szCs w:val="24"/>
          <w:highlight w:val="none"/>
          <w:u w:val="single"/>
        </w:rPr>
      </w:pPr>
      <w:r>
        <w:rPr>
          <w:rFonts w:hint="eastAsia" w:ascii="宋体" w:hAnsi="宋体" w:eastAsia="宋体" w:cs="宋体"/>
          <w:b w:val="0"/>
          <w:bCs w:val="0"/>
          <w:color w:val="000000"/>
          <w:kern w:val="2"/>
          <w:sz w:val="24"/>
          <w:szCs w:val="24"/>
          <w:highlight w:val="none"/>
          <w:u w:val="single"/>
        </w:rPr>
        <w:t>在</w:t>
      </w:r>
      <w:r>
        <w:rPr>
          <w:rFonts w:hint="eastAsia" w:ascii="宋体" w:hAnsi="宋体" w:eastAsia="宋体" w:cs="宋体"/>
          <w:b w:val="0"/>
          <w:bCs w:val="0"/>
          <w:color w:val="000000"/>
          <w:kern w:val="2"/>
          <w:sz w:val="24"/>
          <w:szCs w:val="24"/>
          <w:highlight w:val="none"/>
          <w:u w:val="single"/>
          <w:lang w:eastAsia="zh-CN"/>
        </w:rPr>
        <w:t>审核</w:t>
      </w:r>
      <w:r>
        <w:rPr>
          <w:rFonts w:hint="eastAsia" w:ascii="宋体" w:hAnsi="宋体" w:eastAsia="宋体" w:cs="宋体"/>
          <w:b w:val="0"/>
          <w:bCs w:val="0"/>
          <w:color w:val="000000"/>
          <w:kern w:val="2"/>
          <w:sz w:val="24"/>
          <w:szCs w:val="24"/>
          <w:highlight w:val="none"/>
          <w:u w:val="single"/>
          <w:lang w:val="en-US" w:eastAsia="zh-CN"/>
        </w:rPr>
        <w:t>过程中及审核</w:t>
      </w:r>
      <w:r>
        <w:rPr>
          <w:rFonts w:hint="eastAsia" w:ascii="宋体" w:hAnsi="宋体" w:eastAsia="宋体" w:cs="宋体"/>
          <w:b w:val="0"/>
          <w:bCs w:val="0"/>
          <w:color w:val="000000"/>
          <w:kern w:val="2"/>
          <w:sz w:val="24"/>
          <w:szCs w:val="24"/>
          <w:highlight w:val="none"/>
          <w:u w:val="single"/>
        </w:rPr>
        <w:t>完成后，委托人有权对咨询人的工作质量进行考评，并作为支付</w:t>
      </w:r>
      <w:r>
        <w:rPr>
          <w:rFonts w:hint="eastAsia" w:ascii="宋体" w:hAnsi="宋体" w:eastAsia="宋体" w:cs="宋体"/>
          <w:b w:val="0"/>
          <w:bCs w:val="0"/>
          <w:color w:val="000000"/>
          <w:kern w:val="2"/>
          <w:sz w:val="24"/>
          <w:szCs w:val="24"/>
          <w:highlight w:val="none"/>
          <w:u w:val="single"/>
          <w:lang w:val="en-US" w:eastAsia="zh-CN"/>
        </w:rPr>
        <w:t>咨询费</w:t>
      </w:r>
      <w:r>
        <w:rPr>
          <w:rFonts w:hint="eastAsia" w:ascii="宋体" w:hAnsi="宋体" w:eastAsia="宋体" w:cs="宋体"/>
          <w:b w:val="0"/>
          <w:bCs w:val="0"/>
          <w:color w:val="000000"/>
          <w:kern w:val="2"/>
          <w:sz w:val="24"/>
          <w:szCs w:val="24"/>
          <w:highlight w:val="none"/>
          <w:u w:val="single"/>
        </w:rPr>
        <w:t>的重要依据。</w:t>
      </w:r>
    </w:p>
    <w:p w14:paraId="67FDE75E">
      <w:pPr>
        <w:numPr>
          <w:ilvl w:val="0"/>
          <w:numId w:val="2"/>
        </w:numPr>
        <w:spacing w:line="360" w:lineRule="auto"/>
        <w:ind w:firstLine="480" w:firstLineChars="200"/>
        <w:jc w:val="both"/>
        <w:rPr>
          <w:rFonts w:hint="eastAsia" w:ascii="宋体" w:hAnsi="宋体" w:eastAsia="宋体" w:cs="宋体"/>
          <w:b w:val="0"/>
          <w:bCs w:val="0"/>
          <w:color w:val="000000"/>
          <w:kern w:val="2"/>
          <w:sz w:val="24"/>
          <w:szCs w:val="24"/>
          <w:highlight w:val="none"/>
          <w:u w:val="single"/>
        </w:rPr>
      </w:pPr>
      <w:r>
        <w:rPr>
          <w:rFonts w:hint="eastAsia" w:ascii="宋体" w:hAnsi="宋体" w:eastAsia="宋体" w:cs="宋体"/>
          <w:b w:val="0"/>
          <w:bCs w:val="0"/>
          <w:color w:val="000000"/>
          <w:sz w:val="24"/>
          <w:szCs w:val="24"/>
          <w:highlight w:val="none"/>
          <w:u w:val="single"/>
          <w:lang w:val="en-US" w:eastAsia="zh-CN"/>
        </w:rPr>
        <w:t>跟踪审计咨询人</w:t>
      </w:r>
      <w:r>
        <w:rPr>
          <w:rFonts w:hint="eastAsia" w:ascii="宋体" w:hAnsi="宋体" w:eastAsia="宋体" w:cs="宋体"/>
          <w:b w:val="0"/>
          <w:bCs w:val="0"/>
          <w:color w:val="000000"/>
          <w:sz w:val="24"/>
          <w:szCs w:val="24"/>
          <w:highlight w:val="none"/>
          <w:u w:val="single"/>
        </w:rPr>
        <w:t>投标时所报人员必须为实际派驻现场的</w:t>
      </w:r>
      <w:r>
        <w:rPr>
          <w:rFonts w:hint="eastAsia" w:ascii="宋体" w:hAnsi="宋体" w:eastAsia="宋体" w:cs="宋体"/>
          <w:b w:val="0"/>
          <w:bCs w:val="0"/>
          <w:color w:val="000000"/>
          <w:sz w:val="24"/>
          <w:szCs w:val="24"/>
          <w:highlight w:val="none"/>
          <w:u w:val="single"/>
          <w:lang w:eastAsia="zh-CN"/>
        </w:rPr>
        <w:t>审核</w:t>
      </w:r>
      <w:r>
        <w:rPr>
          <w:rFonts w:hint="eastAsia" w:ascii="宋体" w:hAnsi="宋体" w:eastAsia="宋体" w:cs="宋体"/>
          <w:b w:val="0"/>
          <w:bCs w:val="0"/>
          <w:color w:val="000000"/>
          <w:sz w:val="24"/>
          <w:szCs w:val="24"/>
          <w:highlight w:val="none"/>
          <w:u w:val="single"/>
        </w:rPr>
        <w:t>人员，如实际进场人员与所报不符，委托人将依据合同条款扣减咨询人的服务费，咨询人承诺不因此问题导致服务费用被扣而向委托人主张任何权利。</w:t>
      </w:r>
    </w:p>
    <w:p w14:paraId="5BA13A9A">
      <w:pPr>
        <w:numPr>
          <w:ilvl w:val="0"/>
          <w:numId w:val="2"/>
        </w:numPr>
        <w:spacing w:line="360" w:lineRule="auto"/>
        <w:ind w:firstLine="480" w:firstLineChars="200"/>
        <w:jc w:val="both"/>
        <w:rPr>
          <w:rFonts w:hint="eastAsia" w:ascii="宋体" w:hAnsi="宋体" w:eastAsia="宋体" w:cs="宋体"/>
          <w:b w:val="0"/>
          <w:bCs w:val="0"/>
          <w:color w:val="000000"/>
          <w:sz w:val="24"/>
          <w:szCs w:val="24"/>
          <w:highlight w:val="none"/>
          <w:u w:val="single"/>
        </w:rPr>
      </w:pPr>
      <w:r>
        <w:rPr>
          <w:rFonts w:hint="eastAsia" w:ascii="宋体" w:hAnsi="宋体" w:eastAsia="宋体" w:cs="宋体"/>
          <w:b w:val="0"/>
          <w:bCs w:val="0"/>
          <w:color w:val="000000"/>
          <w:kern w:val="2"/>
          <w:sz w:val="24"/>
          <w:szCs w:val="24"/>
          <w:highlight w:val="none"/>
          <w:u w:val="single"/>
        </w:rPr>
        <w:t>跟踪审计参加现场项目验收及已完工程量的确认，参加现场签证及预算外工程量计量审查工作，严格把关，做好各项索赔取证工作。协助建设及监理单位控制工程质量，</w:t>
      </w:r>
      <w:r>
        <w:rPr>
          <w:rFonts w:hint="eastAsia" w:ascii="宋体" w:hAnsi="宋体" w:eastAsia="宋体" w:cs="宋体"/>
          <w:b w:val="0"/>
          <w:bCs w:val="0"/>
          <w:color w:val="000000"/>
          <w:kern w:val="2"/>
          <w:sz w:val="24"/>
          <w:szCs w:val="24"/>
          <w:highlight w:val="none"/>
          <w:u w:val="single"/>
          <w:lang w:val="en-US" w:eastAsia="zh-CN"/>
        </w:rPr>
        <w:t>签证及变更手续签字不齐全的</w:t>
      </w:r>
      <w:r>
        <w:rPr>
          <w:rFonts w:hint="eastAsia" w:ascii="宋体" w:hAnsi="宋体" w:eastAsia="宋体" w:cs="宋体"/>
          <w:b w:val="0"/>
          <w:bCs w:val="0"/>
          <w:color w:val="000000"/>
          <w:kern w:val="2"/>
          <w:sz w:val="24"/>
          <w:szCs w:val="24"/>
          <w:highlight w:val="none"/>
          <w:u w:val="single"/>
        </w:rPr>
        <w:t>不列为结算总价。</w:t>
      </w:r>
    </w:p>
    <w:p w14:paraId="5B95F973">
      <w:pPr>
        <w:numPr>
          <w:ilvl w:val="0"/>
          <w:numId w:val="2"/>
        </w:numPr>
        <w:spacing w:line="360" w:lineRule="auto"/>
        <w:ind w:firstLine="480" w:firstLineChars="200"/>
        <w:jc w:val="both"/>
        <w:rPr>
          <w:rFonts w:hint="eastAsia" w:ascii="宋体" w:hAnsi="宋体" w:eastAsia="宋体" w:cs="宋体"/>
          <w:b w:val="0"/>
          <w:bCs w:val="0"/>
          <w:color w:val="000000"/>
          <w:kern w:val="2"/>
          <w:sz w:val="24"/>
          <w:szCs w:val="24"/>
          <w:highlight w:val="none"/>
          <w:u w:val="single"/>
          <w:lang w:val="en-US" w:eastAsia="zh-CN"/>
        </w:rPr>
      </w:pPr>
      <w:r>
        <w:rPr>
          <w:rFonts w:hint="eastAsia" w:ascii="宋体" w:hAnsi="宋体" w:eastAsia="宋体" w:cs="宋体"/>
          <w:b w:val="0"/>
          <w:bCs w:val="0"/>
          <w:color w:val="000000"/>
          <w:sz w:val="24"/>
          <w:szCs w:val="24"/>
          <w:highlight w:val="none"/>
          <w:u w:val="single"/>
        </w:rPr>
        <w:t>跟踪审计积极配合业主，控制、优化工程变更，根据工程用途及市场行情，提出建设性的优化方案。深入施工现场，随时掌握施工进度，对主要隐蔽工程、现场签证、设计变更必须摄像存档收集隐蔽工程验收记录，以备查用。</w:t>
      </w:r>
    </w:p>
    <w:p w14:paraId="073D4299">
      <w:pPr>
        <w:numPr>
          <w:ilvl w:val="0"/>
          <w:numId w:val="2"/>
        </w:numPr>
        <w:spacing w:line="360" w:lineRule="auto"/>
        <w:ind w:firstLine="480" w:firstLineChars="200"/>
        <w:jc w:val="both"/>
        <w:rPr>
          <w:rFonts w:hint="eastAsia" w:ascii="宋体" w:hAnsi="宋体" w:eastAsia="宋体" w:cs="宋体"/>
          <w:b w:val="0"/>
          <w:bCs w:val="0"/>
          <w:color w:val="000000"/>
          <w:sz w:val="24"/>
          <w:szCs w:val="24"/>
          <w:highlight w:val="none"/>
          <w:u w:val="single"/>
        </w:rPr>
      </w:pPr>
      <w:r>
        <w:rPr>
          <w:rFonts w:hint="eastAsia" w:ascii="宋体" w:hAnsi="宋体" w:eastAsia="宋体" w:cs="宋体"/>
          <w:b w:val="0"/>
          <w:bCs w:val="0"/>
          <w:color w:val="000000"/>
          <w:kern w:val="2"/>
          <w:sz w:val="24"/>
          <w:szCs w:val="24"/>
          <w:highlight w:val="none"/>
          <w:u w:val="single"/>
        </w:rPr>
        <w:t>跟踪审计负责对施工单位上报的已完成工作量月报进行审核，对工程进度款支付提供支付建议；严格控制管理工程进度款支付审核，坚决杜绝工程款超付现象。</w:t>
      </w:r>
    </w:p>
    <w:p w14:paraId="1A067447">
      <w:pPr>
        <w:numPr>
          <w:ilvl w:val="0"/>
          <w:numId w:val="2"/>
        </w:numPr>
        <w:spacing w:line="360" w:lineRule="auto"/>
        <w:ind w:firstLine="480" w:firstLineChars="200"/>
        <w:jc w:val="both"/>
        <w:rPr>
          <w:rFonts w:hint="eastAsia" w:ascii="宋体" w:hAnsi="宋体" w:eastAsia="宋体" w:cs="宋体"/>
          <w:b w:val="0"/>
          <w:bCs w:val="0"/>
          <w:color w:val="000000"/>
          <w:sz w:val="24"/>
          <w:szCs w:val="24"/>
          <w:highlight w:val="none"/>
          <w:u w:val="single"/>
          <w:lang w:val="en-US" w:eastAsia="zh-CN"/>
        </w:rPr>
      </w:pPr>
      <w:r>
        <w:rPr>
          <w:rFonts w:hint="eastAsia" w:ascii="宋体" w:hAnsi="宋体" w:eastAsia="宋体" w:cs="宋体"/>
          <w:b w:val="0"/>
          <w:bCs w:val="0"/>
          <w:color w:val="000000"/>
          <w:sz w:val="24"/>
          <w:szCs w:val="24"/>
          <w:highlight w:val="none"/>
          <w:u w:val="single"/>
        </w:rPr>
        <w:t>跟踪审计每</w:t>
      </w:r>
      <w:r>
        <w:rPr>
          <w:rFonts w:hint="eastAsia" w:ascii="宋体" w:hAnsi="宋体" w:eastAsia="宋体" w:cs="宋体"/>
          <w:b w:val="0"/>
          <w:bCs w:val="0"/>
          <w:color w:val="000000"/>
          <w:sz w:val="24"/>
          <w:szCs w:val="24"/>
          <w:highlight w:val="none"/>
          <w:u w:val="single"/>
          <w:lang w:val="en-US" w:eastAsia="zh-CN"/>
        </w:rPr>
        <w:t>周、每月</w:t>
      </w:r>
      <w:r>
        <w:rPr>
          <w:rFonts w:hint="eastAsia" w:ascii="宋体" w:hAnsi="宋体" w:eastAsia="宋体" w:cs="宋体"/>
          <w:b w:val="0"/>
          <w:bCs w:val="0"/>
          <w:color w:val="000000"/>
          <w:sz w:val="24"/>
          <w:szCs w:val="24"/>
          <w:highlight w:val="none"/>
          <w:u w:val="single"/>
        </w:rPr>
        <w:t>报送跟踪</w:t>
      </w:r>
      <w:r>
        <w:rPr>
          <w:rFonts w:hint="eastAsia" w:ascii="宋体" w:hAnsi="宋体" w:eastAsia="宋体" w:cs="宋体"/>
          <w:b w:val="0"/>
          <w:bCs w:val="0"/>
          <w:color w:val="000000"/>
          <w:sz w:val="24"/>
          <w:szCs w:val="24"/>
          <w:highlight w:val="none"/>
          <w:u w:val="single"/>
          <w:lang w:eastAsia="zh-CN"/>
        </w:rPr>
        <w:t>审核</w:t>
      </w:r>
      <w:r>
        <w:rPr>
          <w:rFonts w:hint="eastAsia" w:ascii="宋体" w:hAnsi="宋体" w:eastAsia="宋体" w:cs="宋体"/>
          <w:b w:val="0"/>
          <w:bCs w:val="0"/>
          <w:color w:val="000000"/>
          <w:sz w:val="24"/>
          <w:szCs w:val="24"/>
          <w:highlight w:val="none"/>
          <w:u w:val="single"/>
          <w:lang w:val="en-US" w:eastAsia="zh-CN"/>
        </w:rPr>
        <w:t>周报、月报</w:t>
      </w:r>
      <w:r>
        <w:rPr>
          <w:rFonts w:hint="eastAsia" w:ascii="宋体" w:hAnsi="宋体" w:eastAsia="宋体" w:cs="宋体"/>
          <w:b w:val="0"/>
          <w:bCs w:val="0"/>
          <w:color w:val="000000"/>
          <w:sz w:val="24"/>
          <w:szCs w:val="24"/>
          <w:highlight w:val="none"/>
          <w:u w:val="single"/>
        </w:rPr>
        <w:t>，总结当</w:t>
      </w:r>
      <w:r>
        <w:rPr>
          <w:rFonts w:hint="default" w:ascii="宋体" w:hAnsi="宋体" w:eastAsia="宋体" w:cs="宋体"/>
          <w:b w:val="0"/>
          <w:bCs w:val="0"/>
          <w:color w:val="000000"/>
          <w:sz w:val="24"/>
          <w:szCs w:val="24"/>
          <w:highlight w:val="none"/>
          <w:u w:val="single"/>
          <w:lang w:val="en-US" w:eastAsia="zh-CN"/>
        </w:rPr>
        <w:t>周、</w:t>
      </w:r>
      <w:r>
        <w:rPr>
          <w:rFonts w:hint="eastAsia" w:ascii="宋体" w:hAnsi="宋体" w:eastAsia="宋体" w:cs="宋体"/>
          <w:b w:val="0"/>
          <w:bCs w:val="0"/>
          <w:color w:val="000000"/>
          <w:sz w:val="24"/>
          <w:szCs w:val="24"/>
          <w:highlight w:val="none"/>
          <w:u w:val="single"/>
          <w:lang w:val="en-US" w:eastAsia="zh-CN"/>
        </w:rPr>
        <w:t>当</w:t>
      </w:r>
      <w:r>
        <w:rPr>
          <w:rFonts w:hint="default" w:ascii="宋体" w:hAnsi="宋体" w:eastAsia="宋体" w:cs="宋体"/>
          <w:b w:val="0"/>
          <w:bCs w:val="0"/>
          <w:color w:val="000000"/>
          <w:sz w:val="24"/>
          <w:szCs w:val="24"/>
          <w:highlight w:val="none"/>
          <w:u w:val="single"/>
          <w:lang w:val="en-US" w:eastAsia="zh-CN"/>
        </w:rPr>
        <w:t>月</w:t>
      </w:r>
      <w:r>
        <w:rPr>
          <w:rFonts w:hint="eastAsia" w:ascii="宋体" w:hAnsi="宋体" w:eastAsia="宋体" w:cs="宋体"/>
          <w:b w:val="0"/>
          <w:bCs w:val="0"/>
          <w:color w:val="000000"/>
          <w:sz w:val="24"/>
          <w:szCs w:val="24"/>
          <w:highlight w:val="none"/>
          <w:u w:val="single"/>
        </w:rPr>
        <w:t>跟踪情况；项目完成须编制跟踪</w:t>
      </w:r>
      <w:r>
        <w:rPr>
          <w:rFonts w:hint="eastAsia" w:ascii="宋体" w:hAnsi="宋体" w:eastAsia="宋体" w:cs="宋体"/>
          <w:b w:val="0"/>
          <w:bCs w:val="0"/>
          <w:color w:val="000000"/>
          <w:sz w:val="24"/>
          <w:szCs w:val="24"/>
          <w:highlight w:val="none"/>
          <w:u w:val="single"/>
          <w:lang w:eastAsia="zh-CN"/>
        </w:rPr>
        <w:t>审核</w:t>
      </w:r>
      <w:r>
        <w:rPr>
          <w:rFonts w:hint="eastAsia" w:ascii="宋体" w:hAnsi="宋体" w:eastAsia="宋体" w:cs="宋体"/>
          <w:b w:val="0"/>
          <w:bCs w:val="0"/>
          <w:color w:val="000000"/>
          <w:sz w:val="24"/>
          <w:szCs w:val="24"/>
          <w:highlight w:val="none"/>
          <w:u w:val="single"/>
        </w:rPr>
        <w:t>报告（附所有签证资料，并说明发生的主要签证和造价情况），并把跟踪资料原件移交建设单位统一备案；</w:t>
      </w:r>
    </w:p>
    <w:p w14:paraId="5E859AFF">
      <w:pPr>
        <w:numPr>
          <w:ilvl w:val="0"/>
          <w:numId w:val="2"/>
        </w:numPr>
        <w:spacing w:line="360" w:lineRule="auto"/>
        <w:ind w:firstLine="480" w:firstLineChars="200"/>
        <w:jc w:val="both"/>
        <w:rPr>
          <w:rFonts w:hint="eastAsia" w:ascii="宋体" w:hAnsi="宋体" w:eastAsia="宋体" w:cs="宋体"/>
          <w:b w:val="0"/>
          <w:bCs w:val="0"/>
          <w:color w:val="000000"/>
          <w:sz w:val="24"/>
          <w:szCs w:val="24"/>
          <w:highlight w:val="none"/>
          <w:u w:val="single"/>
          <w:lang w:val="en-US" w:eastAsia="zh-CN"/>
        </w:rPr>
      </w:pPr>
      <w:r>
        <w:rPr>
          <w:rFonts w:hint="eastAsia" w:ascii="宋体" w:hAnsi="宋体" w:eastAsia="宋体" w:cs="宋体"/>
          <w:b w:val="0"/>
          <w:bCs w:val="0"/>
          <w:color w:val="000000"/>
          <w:sz w:val="24"/>
          <w:szCs w:val="24"/>
          <w:highlight w:val="none"/>
          <w:u w:val="single"/>
          <w:lang w:val="en-US" w:eastAsia="zh-CN"/>
        </w:rPr>
        <w:t>咨询人</w:t>
      </w:r>
      <w:r>
        <w:rPr>
          <w:rFonts w:hint="eastAsia" w:ascii="宋体" w:hAnsi="宋体" w:eastAsia="宋体" w:cs="宋体"/>
          <w:b w:val="0"/>
          <w:bCs w:val="0"/>
          <w:color w:val="000000"/>
          <w:sz w:val="24"/>
          <w:szCs w:val="24"/>
          <w:highlight w:val="none"/>
          <w:u w:val="single"/>
        </w:rPr>
        <w:t>不得以任何理由向委托人及其工作人员馈赠礼金、有价证券等；不得安排委托人工作人员参加宴请及娱乐活动；不得接受委托</w:t>
      </w:r>
      <w:r>
        <w:rPr>
          <w:rFonts w:hint="eastAsia" w:ascii="宋体" w:hAnsi="宋体" w:eastAsia="宋体" w:cs="宋体"/>
          <w:b w:val="0"/>
          <w:bCs w:val="0"/>
          <w:color w:val="000000"/>
          <w:sz w:val="24"/>
          <w:szCs w:val="24"/>
          <w:highlight w:val="none"/>
          <w:u w:val="single"/>
          <w:lang w:val="en-US" w:eastAsia="zh-CN"/>
        </w:rPr>
        <w:t>咨询</w:t>
      </w:r>
      <w:r>
        <w:rPr>
          <w:rFonts w:hint="eastAsia" w:ascii="宋体" w:hAnsi="宋体" w:eastAsia="宋体" w:cs="宋体"/>
          <w:b w:val="0"/>
          <w:bCs w:val="0"/>
          <w:color w:val="000000"/>
          <w:sz w:val="24"/>
          <w:szCs w:val="24"/>
          <w:highlight w:val="none"/>
          <w:u w:val="single"/>
        </w:rPr>
        <w:t>合同以外的与本工程</w:t>
      </w:r>
      <w:r>
        <w:rPr>
          <w:rFonts w:hint="eastAsia" w:ascii="宋体" w:hAnsi="宋体" w:eastAsia="宋体" w:cs="宋体"/>
          <w:b w:val="0"/>
          <w:bCs w:val="0"/>
          <w:color w:val="000000"/>
          <w:sz w:val="24"/>
          <w:szCs w:val="24"/>
          <w:highlight w:val="none"/>
          <w:u w:val="single"/>
          <w:lang w:eastAsia="zh-CN"/>
        </w:rPr>
        <w:t>审核</w:t>
      </w:r>
      <w:r>
        <w:rPr>
          <w:rFonts w:hint="eastAsia" w:ascii="宋体" w:hAnsi="宋体" w:eastAsia="宋体" w:cs="宋体"/>
          <w:b w:val="0"/>
          <w:bCs w:val="0"/>
          <w:color w:val="000000"/>
          <w:sz w:val="24"/>
          <w:szCs w:val="24"/>
          <w:highlight w:val="none"/>
          <w:u w:val="single"/>
        </w:rPr>
        <w:t>工作有关的任何报酬。工作中自行解决食宿问题，严禁由施工单位解决。</w:t>
      </w:r>
      <w:r>
        <w:rPr>
          <w:rFonts w:hint="eastAsia" w:ascii="宋体" w:hAnsi="宋体" w:eastAsia="宋体" w:cs="宋体"/>
          <w:b w:val="0"/>
          <w:bCs w:val="0"/>
          <w:color w:val="000000"/>
          <w:sz w:val="24"/>
          <w:szCs w:val="24"/>
          <w:highlight w:val="none"/>
          <w:u w:val="single"/>
          <w:lang w:val="en-US" w:eastAsia="zh-CN"/>
        </w:rPr>
        <w:t>如发现后处以不低于服务费20%的经济处罚直至解除合同。</w:t>
      </w:r>
    </w:p>
    <w:p w14:paraId="1AF57E36">
      <w:pPr>
        <w:pStyle w:val="61"/>
        <w:ind w:left="0" w:leftChars="0" w:firstLine="0" w:firstLineChars="0"/>
        <w:jc w:val="both"/>
        <w:rPr>
          <w:rFonts w:hint="eastAsia"/>
          <w:highlight w:val="none"/>
          <w:lang w:val="en-US" w:eastAsia="zh-CN"/>
        </w:rPr>
      </w:pPr>
    </w:p>
    <w:p w14:paraId="47DB91FC">
      <w:pPr>
        <w:pStyle w:val="3"/>
      </w:pPr>
      <w:r>
        <w:rPr>
          <w:rFonts w:ascii="黑体" w:hAnsi="宋体" w:eastAsia="黑体"/>
          <w:b/>
          <w:sz w:val="30"/>
          <w:szCs w:val="30"/>
        </w:rPr>
        <w:br w:type="page"/>
      </w:r>
      <w:bookmarkEnd w:id="479"/>
      <w:bookmarkStart w:id="480" w:name="_Toc7525"/>
    </w:p>
    <w:p w14:paraId="4D7C4584">
      <w:pPr>
        <w:pStyle w:val="3"/>
      </w:pPr>
      <w:bookmarkStart w:id="481" w:name="_Toc57041956"/>
      <w:r>
        <w:rPr>
          <w:rFonts w:hint="eastAsia"/>
        </w:rPr>
        <w:t>第五章 投标文件格式</w:t>
      </w:r>
      <w:bookmarkEnd w:id="480"/>
      <w:bookmarkEnd w:id="481"/>
    </w:p>
    <w:p w14:paraId="3383B20B">
      <w:pPr>
        <w:spacing w:line="360" w:lineRule="auto"/>
        <w:jc w:val="left"/>
        <w:rPr>
          <w:rFonts w:ascii="宋体" w:hAnsi="宋体"/>
          <w:b/>
          <w:sz w:val="32"/>
        </w:rPr>
      </w:pPr>
      <w:r>
        <w:rPr>
          <w:rFonts w:ascii="黑体" w:eastAsia="黑体"/>
          <w:b/>
          <w:sz w:val="32"/>
        </w:rPr>
        <w:br w:type="page"/>
      </w:r>
      <w:bookmarkStart w:id="482" w:name="_Toc57041957"/>
      <w:bookmarkStart w:id="483" w:name="_Toc20073"/>
      <w:bookmarkStart w:id="484" w:name="_Toc7916"/>
      <w:r>
        <w:rPr>
          <w:rStyle w:val="63"/>
          <w:rFonts w:hint="eastAsia" w:ascii="宋体" w:hAnsi="宋体" w:eastAsia="宋体"/>
        </w:rPr>
        <w:t>封面</w:t>
      </w:r>
      <w:bookmarkEnd w:id="482"/>
      <w:bookmarkEnd w:id="483"/>
      <w:bookmarkEnd w:id="484"/>
    </w:p>
    <w:p w14:paraId="5E5228B6">
      <w:pPr>
        <w:jc w:val="center"/>
        <w:rPr>
          <w:rFonts w:ascii="宋体" w:hAnsi="宋体"/>
          <w:sz w:val="44"/>
          <w:szCs w:val="44"/>
        </w:rPr>
      </w:pPr>
      <w:r>
        <w:rPr>
          <w:rFonts w:hint="eastAsia" w:ascii="宋体" w:hAnsi="宋体"/>
          <w:sz w:val="44"/>
          <w:szCs w:val="44"/>
        </w:rPr>
        <w:t xml:space="preserve"> </w:t>
      </w:r>
    </w:p>
    <w:p w14:paraId="10F0AA5B">
      <w:pPr>
        <w:spacing w:line="360" w:lineRule="auto"/>
        <w:jc w:val="center"/>
        <w:rPr>
          <w:rFonts w:ascii="宋体" w:hAnsi="宋体"/>
          <w:sz w:val="28"/>
          <w:szCs w:val="28"/>
        </w:rPr>
      </w:pPr>
      <w:r>
        <w:rPr>
          <w:rFonts w:hint="eastAsia" w:ascii="宋体" w:hAnsi="宋体"/>
          <w:sz w:val="36"/>
          <w:szCs w:val="36"/>
          <w:lang w:val="en-US" w:eastAsia="zh-CN"/>
        </w:rPr>
        <w:t>Xxxxxx</w:t>
      </w:r>
      <w:r>
        <w:rPr>
          <w:rFonts w:hint="eastAsia" w:ascii="宋体" w:hAnsi="宋体"/>
          <w:sz w:val="36"/>
          <w:szCs w:val="36"/>
        </w:rPr>
        <w:t>项目跟踪审计及竣工结算审计（一审）</w:t>
      </w:r>
    </w:p>
    <w:p w14:paraId="7BC42F89">
      <w:pPr>
        <w:spacing w:line="360" w:lineRule="auto"/>
        <w:jc w:val="center"/>
        <w:rPr>
          <w:rFonts w:ascii="宋体" w:hAnsi="宋体"/>
          <w:sz w:val="28"/>
          <w:szCs w:val="28"/>
        </w:rPr>
      </w:pPr>
    </w:p>
    <w:p w14:paraId="306089BD">
      <w:pPr>
        <w:spacing w:line="360" w:lineRule="auto"/>
        <w:jc w:val="center"/>
        <w:rPr>
          <w:rFonts w:ascii="黑体" w:hAnsi="黑体" w:eastAsia="黑体"/>
          <w:sz w:val="96"/>
          <w:szCs w:val="96"/>
        </w:rPr>
      </w:pPr>
    </w:p>
    <w:p w14:paraId="0290F1F4">
      <w:pPr>
        <w:spacing w:line="360" w:lineRule="auto"/>
        <w:jc w:val="center"/>
        <w:rPr>
          <w:rFonts w:ascii="黑体" w:hAnsi="黑体" w:eastAsia="黑体"/>
          <w:sz w:val="96"/>
          <w:szCs w:val="96"/>
        </w:rPr>
      </w:pPr>
      <w:r>
        <w:rPr>
          <w:rFonts w:hint="eastAsia" w:ascii="黑体" w:hAnsi="黑体" w:eastAsia="黑体"/>
          <w:sz w:val="96"/>
          <w:szCs w:val="96"/>
        </w:rPr>
        <w:t>投标文件</w:t>
      </w:r>
    </w:p>
    <w:p w14:paraId="0D9ECC66">
      <w:pPr>
        <w:spacing w:line="360" w:lineRule="auto"/>
        <w:jc w:val="center"/>
        <w:rPr>
          <w:rFonts w:ascii="黑体" w:hAnsi="黑体" w:eastAsia="黑体"/>
          <w:sz w:val="96"/>
          <w:szCs w:val="96"/>
        </w:rPr>
      </w:pPr>
    </w:p>
    <w:p w14:paraId="201425B9">
      <w:pPr>
        <w:spacing w:line="360" w:lineRule="auto"/>
        <w:jc w:val="center"/>
        <w:rPr>
          <w:rFonts w:ascii="黑体" w:hAnsi="黑体" w:eastAsia="黑体"/>
          <w:sz w:val="96"/>
          <w:szCs w:val="96"/>
        </w:rPr>
      </w:pPr>
    </w:p>
    <w:p w14:paraId="3FF7EB52">
      <w:pPr>
        <w:spacing w:line="360" w:lineRule="auto"/>
        <w:jc w:val="center"/>
        <w:rPr>
          <w:rFonts w:ascii="黑体" w:hAnsi="黑体" w:eastAsia="黑体"/>
          <w:sz w:val="96"/>
          <w:szCs w:val="96"/>
        </w:rPr>
      </w:pPr>
    </w:p>
    <w:p w14:paraId="250B7CB6">
      <w:pPr>
        <w:spacing w:line="360" w:lineRule="auto"/>
        <w:jc w:val="center"/>
        <w:rPr>
          <w:rFonts w:ascii="黑体" w:hAnsi="黑体" w:eastAsia="黑体"/>
          <w:sz w:val="96"/>
          <w:szCs w:val="96"/>
        </w:rPr>
      </w:pPr>
    </w:p>
    <w:p w14:paraId="44BC1660">
      <w:pPr>
        <w:spacing w:line="360" w:lineRule="auto"/>
        <w:jc w:val="center"/>
        <w:rPr>
          <w:rFonts w:ascii="宋体" w:hAnsi="宋体"/>
          <w:sz w:val="28"/>
          <w:szCs w:val="28"/>
        </w:rPr>
      </w:pPr>
    </w:p>
    <w:p w14:paraId="7EB34CEB">
      <w:pPr>
        <w:spacing w:line="360" w:lineRule="auto"/>
        <w:ind w:firstLine="708" w:firstLineChars="253"/>
        <w:jc w:val="left"/>
        <w:rPr>
          <w:rFonts w:ascii="宋体" w:hAnsi="宋体"/>
          <w:sz w:val="28"/>
          <w:szCs w:val="28"/>
          <w:u w:val="single"/>
        </w:rPr>
      </w:pPr>
      <w:r>
        <w:rPr>
          <w:rFonts w:hint="eastAsia" w:ascii="宋体" w:hAnsi="宋体"/>
          <w:sz w:val="28"/>
          <w:szCs w:val="28"/>
        </w:rPr>
        <w:t>投标人（盖章）：</w:t>
      </w:r>
      <w:r>
        <w:rPr>
          <w:rFonts w:hint="eastAsia" w:ascii="宋体" w:hAnsi="宋体"/>
          <w:sz w:val="28"/>
          <w:szCs w:val="28"/>
          <w:u w:val="single"/>
        </w:rPr>
        <w:t xml:space="preserve">                                </w:t>
      </w:r>
    </w:p>
    <w:p w14:paraId="3F9AD0BA">
      <w:pPr>
        <w:spacing w:line="360" w:lineRule="auto"/>
        <w:ind w:firstLine="708" w:firstLineChars="253"/>
        <w:jc w:val="left"/>
        <w:rPr>
          <w:rFonts w:ascii="宋体" w:hAnsi="宋体"/>
          <w:sz w:val="28"/>
          <w:szCs w:val="28"/>
          <w:u w:val="single"/>
        </w:rPr>
      </w:pPr>
    </w:p>
    <w:p w14:paraId="31464511">
      <w:pPr>
        <w:spacing w:line="360" w:lineRule="auto"/>
        <w:ind w:left="701" w:leftChars="334" w:firstLine="140" w:firstLineChars="50"/>
        <w:jc w:val="center"/>
        <w:rPr>
          <w:rFonts w:ascii="黑体" w:eastAsia="黑体"/>
          <w:b/>
          <w:sz w:val="32"/>
        </w:rPr>
      </w:pPr>
      <w:r>
        <w:rPr>
          <w:rFonts w:hint="eastAsia" w:ascii="宋体" w:hAnsi="宋体"/>
          <w:sz w:val="28"/>
          <w:szCs w:val="28"/>
        </w:rPr>
        <w:t>日         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 xml:space="preserve">日                                     </w:t>
      </w:r>
      <w:r>
        <w:rPr>
          <w:rFonts w:ascii="黑体" w:eastAsia="黑体"/>
          <w:b/>
          <w:sz w:val="32"/>
        </w:rPr>
        <w:br w:type="page"/>
      </w:r>
      <w:r>
        <w:rPr>
          <w:rFonts w:hint="eastAsia" w:ascii="黑体" w:eastAsia="黑体"/>
          <w:b/>
          <w:sz w:val="32"/>
        </w:rPr>
        <w:t>目     录</w:t>
      </w:r>
    </w:p>
    <w:p w14:paraId="6FD45A51">
      <w:pPr>
        <w:spacing w:line="360" w:lineRule="auto"/>
        <w:jc w:val="center"/>
        <w:rPr>
          <w:rFonts w:ascii="黑体" w:eastAsia="黑体"/>
          <w:b/>
          <w:sz w:val="32"/>
        </w:rPr>
      </w:pPr>
    </w:p>
    <w:p w14:paraId="4099B7A8">
      <w:pPr>
        <w:spacing w:line="360" w:lineRule="auto"/>
        <w:rPr>
          <w:rFonts w:ascii="宋体" w:hAnsi="宋体"/>
          <w:sz w:val="24"/>
        </w:rPr>
      </w:pPr>
      <w:bookmarkStart w:id="485" w:name="_Toc387526346"/>
      <w:bookmarkStart w:id="486" w:name="_Toc387526438"/>
      <w:bookmarkStart w:id="487" w:name="_Toc387526242"/>
      <w:bookmarkStart w:id="488" w:name="_Toc5230"/>
      <w:r>
        <w:rPr>
          <w:rFonts w:hint="eastAsia" w:ascii="宋体" w:hAnsi="宋体"/>
          <w:sz w:val="24"/>
        </w:rPr>
        <w:t>1、投标函及投标函附录</w:t>
      </w:r>
    </w:p>
    <w:p w14:paraId="642786F7">
      <w:pPr>
        <w:spacing w:line="360" w:lineRule="auto"/>
        <w:rPr>
          <w:rFonts w:ascii="宋体" w:hAnsi="宋体"/>
          <w:sz w:val="24"/>
        </w:rPr>
      </w:pPr>
      <w:r>
        <w:rPr>
          <w:rFonts w:hint="eastAsia" w:ascii="宋体" w:hAnsi="宋体" w:cs="宋体"/>
          <w:sz w:val="24"/>
        </w:rPr>
        <w:t>2、法定代表人身份证明</w:t>
      </w:r>
    </w:p>
    <w:p w14:paraId="5B7190E3">
      <w:pPr>
        <w:spacing w:line="360" w:lineRule="auto"/>
        <w:rPr>
          <w:rFonts w:ascii="宋体" w:hAnsi="宋体" w:cs="宋体"/>
          <w:sz w:val="24"/>
        </w:rPr>
      </w:pPr>
      <w:r>
        <w:rPr>
          <w:rFonts w:hint="eastAsia" w:ascii="宋体" w:hAnsi="宋体" w:cs="宋体"/>
          <w:sz w:val="24"/>
        </w:rPr>
        <w:t>3、授权委托书</w:t>
      </w:r>
    </w:p>
    <w:p w14:paraId="2ED04888">
      <w:pPr>
        <w:spacing w:line="360" w:lineRule="auto"/>
        <w:rPr>
          <w:rFonts w:ascii="宋体" w:hAnsi="宋体"/>
          <w:kern w:val="0"/>
          <w:sz w:val="24"/>
        </w:rPr>
      </w:pPr>
      <w:r>
        <w:rPr>
          <w:rFonts w:hint="eastAsia" w:ascii="宋体" w:hAnsi="宋体"/>
          <w:kern w:val="0"/>
          <w:sz w:val="24"/>
        </w:rPr>
        <w:t>4、投标人承诺书</w:t>
      </w:r>
    </w:p>
    <w:p w14:paraId="077B4ABF">
      <w:pPr>
        <w:spacing w:line="360" w:lineRule="auto"/>
        <w:rPr>
          <w:rFonts w:ascii="宋体" w:hAnsi="宋体"/>
          <w:kern w:val="0"/>
          <w:sz w:val="24"/>
        </w:rPr>
      </w:pPr>
      <w:r>
        <w:rPr>
          <w:rFonts w:hint="eastAsia" w:ascii="宋体" w:hAnsi="宋体"/>
          <w:kern w:val="0"/>
          <w:sz w:val="24"/>
        </w:rPr>
        <w:t>5、资格审查资料</w:t>
      </w:r>
    </w:p>
    <w:p w14:paraId="1FEF43DA">
      <w:pPr>
        <w:spacing w:line="360" w:lineRule="auto"/>
        <w:rPr>
          <w:rFonts w:ascii="宋体" w:hAnsi="宋体"/>
          <w:kern w:val="0"/>
          <w:sz w:val="24"/>
        </w:rPr>
      </w:pPr>
      <w:r>
        <w:rPr>
          <w:rFonts w:hint="eastAsia" w:ascii="宋体" w:hAnsi="宋体"/>
          <w:kern w:val="0"/>
          <w:sz w:val="24"/>
        </w:rPr>
        <w:t>6、项目组人员、人员驻场服务及审计服务方案等情况</w:t>
      </w:r>
    </w:p>
    <w:p w14:paraId="390ABA18">
      <w:pPr>
        <w:spacing w:line="360" w:lineRule="auto"/>
        <w:rPr>
          <w:rFonts w:ascii="宋体" w:hAnsi="宋体"/>
          <w:kern w:val="0"/>
          <w:sz w:val="24"/>
        </w:rPr>
      </w:pPr>
      <w:r>
        <w:rPr>
          <w:rFonts w:hint="eastAsia" w:ascii="宋体" w:hAnsi="宋体"/>
          <w:kern w:val="0"/>
          <w:sz w:val="24"/>
        </w:rPr>
        <w:t>7、投标人认为所需要的其它资料</w:t>
      </w:r>
    </w:p>
    <w:p w14:paraId="6B91F186">
      <w:pPr>
        <w:pStyle w:val="112"/>
        <w:rPr>
          <w:rFonts w:hAnsi="宋体"/>
          <w:color w:val="auto"/>
        </w:rPr>
      </w:pPr>
      <w:r>
        <w:rPr>
          <w:color w:val="auto"/>
        </w:rPr>
        <w:br w:type="page"/>
      </w:r>
      <w:bookmarkStart w:id="489" w:name="_Toc7639"/>
      <w:bookmarkStart w:id="490" w:name="_Toc22104"/>
      <w:bookmarkStart w:id="491" w:name="_Toc57041958"/>
      <w:r>
        <w:rPr>
          <w:rFonts w:hint="eastAsia"/>
          <w:color w:val="auto"/>
        </w:rPr>
        <w:t>1.投标函</w:t>
      </w:r>
      <w:bookmarkEnd w:id="485"/>
      <w:bookmarkEnd w:id="486"/>
      <w:bookmarkEnd w:id="487"/>
      <w:bookmarkEnd w:id="488"/>
      <w:bookmarkEnd w:id="489"/>
      <w:bookmarkEnd w:id="490"/>
      <w:bookmarkEnd w:id="491"/>
    </w:p>
    <w:p w14:paraId="58EB9478">
      <w:pPr>
        <w:pStyle w:val="125"/>
        <w:spacing w:line="360" w:lineRule="auto"/>
        <w:jc w:val="center"/>
        <w:rPr>
          <w:rFonts w:hAnsi="宋体" w:cs="宋体"/>
          <w:sz w:val="32"/>
          <w:szCs w:val="32"/>
        </w:rPr>
      </w:pPr>
      <w:r>
        <w:rPr>
          <w:rFonts w:hint="eastAsia" w:hAnsi="宋体" w:cs="宋体"/>
          <w:sz w:val="32"/>
          <w:szCs w:val="32"/>
        </w:rPr>
        <w:t>投   标   函</w:t>
      </w:r>
    </w:p>
    <w:p w14:paraId="60ABA3EC">
      <w:pPr>
        <w:pStyle w:val="125"/>
        <w:spacing w:line="360" w:lineRule="exact"/>
        <w:rPr>
          <w:rFonts w:hAnsi="宋体" w:cs="宋体"/>
          <w:sz w:val="21"/>
          <w:szCs w:val="21"/>
        </w:rPr>
      </w:pPr>
      <w:r>
        <w:rPr>
          <w:rFonts w:hint="eastAsia" w:hAnsi="宋体" w:cs="宋体"/>
          <w:sz w:val="21"/>
          <w:szCs w:val="21"/>
          <w:u w:val="single"/>
        </w:rPr>
        <w:t xml:space="preserve">  </w:t>
      </w:r>
      <w:r>
        <w:rPr>
          <w:rFonts w:hint="eastAsia" w:hAnsi="宋体" w:cs="宋体"/>
          <w:iCs/>
          <w:sz w:val="21"/>
          <w:szCs w:val="21"/>
          <w:u w:val="single"/>
        </w:rPr>
        <w:t>（招标人）</w:t>
      </w:r>
      <w:r>
        <w:rPr>
          <w:rFonts w:hint="eastAsia" w:hAnsi="宋体" w:cs="宋体"/>
          <w:sz w:val="21"/>
          <w:szCs w:val="21"/>
          <w:u w:val="single"/>
        </w:rPr>
        <w:t xml:space="preserve">   </w:t>
      </w:r>
      <w:r>
        <w:rPr>
          <w:rFonts w:hint="eastAsia" w:hAnsi="宋体" w:cs="宋体"/>
          <w:sz w:val="21"/>
          <w:szCs w:val="21"/>
        </w:rPr>
        <w:t>：</w:t>
      </w:r>
    </w:p>
    <w:p w14:paraId="33BC76E4">
      <w:pPr>
        <w:numPr>
          <w:ilvl w:val="0"/>
          <w:numId w:val="3"/>
        </w:numPr>
        <w:spacing w:line="360" w:lineRule="exact"/>
        <w:ind w:firstLine="420"/>
        <w:rPr>
          <w:szCs w:val="21"/>
        </w:rPr>
      </w:pPr>
      <w:r>
        <w:rPr>
          <w:rFonts w:hint="eastAsia" w:ascii="宋体" w:hAnsi="宋体"/>
          <w:szCs w:val="21"/>
        </w:rPr>
        <w:t>在研究了</w:t>
      </w:r>
      <w:r>
        <w:rPr>
          <w:rFonts w:hint="eastAsia" w:ascii="宋体" w:hAnsi="宋体"/>
          <w:szCs w:val="21"/>
          <w:u w:val="single"/>
        </w:rPr>
        <w:t xml:space="preserve">                      </w:t>
      </w:r>
      <w:r>
        <w:rPr>
          <w:rFonts w:hint="eastAsia" w:ascii="宋体" w:hAnsi="宋体"/>
          <w:szCs w:val="21"/>
        </w:rPr>
        <w:t>标段的招标文件并了解该项目基本情况后，决定参加该项目投标。在此郑重表示，我们愿意按照投标文件中投入的力量和工作方案、遵照招标文件规定的责任和义务、</w:t>
      </w:r>
      <w:r>
        <w:rPr>
          <w:rFonts w:ascii="宋体" w:hAnsi="宋体"/>
          <w:szCs w:val="21"/>
        </w:rPr>
        <w:t>愿意以</w:t>
      </w:r>
      <w:r>
        <w:rPr>
          <w:rFonts w:hint="eastAsia" w:ascii="宋体" w:hAnsi="宋体"/>
          <w:szCs w:val="21"/>
        </w:rPr>
        <w:t>《关于印发《江苏省工程造价咨询服务收费指导意见》的通知》（苏建价协(2022)7号）计费标准的</w:t>
      </w:r>
      <w:r>
        <w:rPr>
          <w:rFonts w:ascii="宋体" w:hAnsi="宋体"/>
          <w:szCs w:val="21"/>
          <w:u w:val="single"/>
        </w:rPr>
        <w:t xml:space="preserve">        </w:t>
      </w:r>
      <w:r>
        <w:rPr>
          <w:rFonts w:hint="eastAsia" w:ascii="宋体" w:hAnsi="宋体"/>
          <w:szCs w:val="21"/>
        </w:rPr>
        <w:t>%</w:t>
      </w:r>
      <w:r>
        <w:rPr>
          <w:rFonts w:ascii="宋体" w:hAnsi="宋体"/>
          <w:szCs w:val="21"/>
        </w:rPr>
        <w:t>的投标总报价</w:t>
      </w:r>
      <w:r>
        <w:rPr>
          <w:rFonts w:hint="eastAsia" w:ascii="宋体" w:hAnsi="宋体"/>
          <w:szCs w:val="21"/>
        </w:rPr>
        <w:t>承担本项目的全过程跟踪审计及竣工结算审核服务工作。</w:t>
      </w:r>
    </w:p>
    <w:p w14:paraId="6029E0B8">
      <w:pPr>
        <w:numPr>
          <w:ilvl w:val="0"/>
          <w:numId w:val="3"/>
        </w:numPr>
        <w:spacing w:line="360" w:lineRule="exact"/>
        <w:ind w:firstLine="420" w:firstLineChars="200"/>
        <w:rPr>
          <w:bCs/>
          <w:szCs w:val="21"/>
        </w:rPr>
      </w:pPr>
      <w:r>
        <w:rPr>
          <w:rFonts w:hint="eastAsia" w:ascii="宋体" w:hAnsi="宋体" w:cs="宋体"/>
          <w:bCs/>
          <w:szCs w:val="21"/>
        </w:rPr>
        <w:t>我方授权委托</w:t>
      </w:r>
      <w:r>
        <w:rPr>
          <w:rFonts w:hint="eastAsia" w:ascii="宋体" w:hAnsi="宋体" w:cs="宋体"/>
          <w:bCs/>
          <w:szCs w:val="21"/>
          <w:u w:val="single"/>
        </w:rPr>
        <w:t xml:space="preserve">          </w:t>
      </w:r>
      <w:r>
        <w:rPr>
          <w:rFonts w:hint="eastAsia" w:ascii="宋体" w:hAnsi="宋体" w:cs="宋体"/>
          <w:bCs/>
          <w:szCs w:val="21"/>
        </w:rPr>
        <w:t>同志（身份证号：</w:t>
      </w:r>
      <w:r>
        <w:rPr>
          <w:rFonts w:hint="eastAsia" w:ascii="宋体" w:hAnsi="宋体" w:cs="宋体"/>
          <w:bCs/>
          <w:szCs w:val="21"/>
          <w:u w:val="single"/>
        </w:rPr>
        <w:t xml:space="preserve">                           </w:t>
      </w:r>
      <w:r>
        <w:rPr>
          <w:rFonts w:hint="eastAsia" w:ascii="宋体" w:hAnsi="宋体" w:cs="宋体"/>
          <w:bCs/>
          <w:szCs w:val="21"/>
        </w:rPr>
        <w:t>）作为我方代表参加开标会议。</w:t>
      </w:r>
    </w:p>
    <w:p w14:paraId="419ECF28">
      <w:pPr>
        <w:spacing w:line="360" w:lineRule="exact"/>
        <w:ind w:firstLine="420" w:firstLineChars="200"/>
        <w:rPr>
          <w:szCs w:val="21"/>
        </w:rPr>
      </w:pPr>
      <w:r>
        <w:rPr>
          <w:rFonts w:hint="eastAsia"/>
          <w:szCs w:val="21"/>
        </w:rPr>
        <w:t>3</w:t>
      </w:r>
      <w:r>
        <w:rPr>
          <w:szCs w:val="21"/>
        </w:rPr>
        <w:t>．我方承诺在</w:t>
      </w:r>
      <w:r>
        <w:rPr>
          <w:rFonts w:hint="eastAsia"/>
          <w:szCs w:val="21"/>
        </w:rPr>
        <w:t>招标文件规定的</w:t>
      </w:r>
      <w:r>
        <w:rPr>
          <w:szCs w:val="21"/>
        </w:rPr>
        <w:t>投标有效期内不修改、撤销</w:t>
      </w:r>
      <w:r>
        <w:rPr>
          <w:rFonts w:hint="eastAsia"/>
          <w:szCs w:val="21"/>
        </w:rPr>
        <w:t>投标文件。</w:t>
      </w:r>
    </w:p>
    <w:p w14:paraId="047E02FB">
      <w:pPr>
        <w:spacing w:line="360" w:lineRule="exact"/>
        <w:ind w:firstLine="420" w:firstLineChars="200"/>
        <w:rPr>
          <w:rFonts w:hAnsi="宋体" w:cs="宋体"/>
          <w:szCs w:val="21"/>
        </w:rPr>
      </w:pPr>
      <w:r>
        <w:rPr>
          <w:rFonts w:hint="eastAsia"/>
          <w:szCs w:val="21"/>
        </w:rPr>
        <w:t>4</w:t>
      </w:r>
      <w:r>
        <w:rPr>
          <w:szCs w:val="21"/>
        </w:rPr>
        <w:t>．</w:t>
      </w:r>
      <w:r>
        <w:rPr>
          <w:rFonts w:hint="eastAsia" w:hAnsi="宋体" w:cs="宋体"/>
          <w:szCs w:val="21"/>
        </w:rPr>
        <w:t>如果我方中标，将派出</w:t>
      </w:r>
      <w:r>
        <w:rPr>
          <w:rFonts w:hint="eastAsia" w:hAnsi="宋体" w:cs="宋体"/>
          <w:szCs w:val="21"/>
          <w:u w:val="single"/>
        </w:rPr>
        <w:t xml:space="preserve">         </w:t>
      </w:r>
      <w:r>
        <w:rPr>
          <w:rFonts w:hint="eastAsia" w:hAnsi="宋体" w:cs="宋体"/>
          <w:szCs w:val="21"/>
        </w:rPr>
        <w:t>（姓名）作为本标段的项目负责人。</w:t>
      </w:r>
    </w:p>
    <w:p w14:paraId="71451BAA">
      <w:pPr>
        <w:spacing w:line="360" w:lineRule="exact"/>
        <w:ind w:firstLine="420" w:firstLineChars="200"/>
        <w:rPr>
          <w:szCs w:val="21"/>
        </w:rPr>
      </w:pPr>
      <w:r>
        <w:rPr>
          <w:rFonts w:hint="eastAsia"/>
          <w:szCs w:val="21"/>
        </w:rPr>
        <w:t>5</w:t>
      </w:r>
      <w:r>
        <w:rPr>
          <w:szCs w:val="21"/>
        </w:rPr>
        <w:t>．如我方中标：</w:t>
      </w:r>
    </w:p>
    <w:p w14:paraId="034349B7">
      <w:pPr>
        <w:spacing w:line="360" w:lineRule="exact"/>
        <w:ind w:firstLine="539" w:firstLineChars="257"/>
        <w:rPr>
          <w:szCs w:val="21"/>
        </w:rPr>
      </w:pPr>
      <w:r>
        <w:rPr>
          <w:szCs w:val="21"/>
        </w:rPr>
        <w:t>（1）我方承诺在收到中标通知书后，在中标通知书规定的期限内与你方签订合同。</w:t>
      </w:r>
    </w:p>
    <w:p w14:paraId="476F95D2">
      <w:pPr>
        <w:spacing w:line="360" w:lineRule="exact"/>
        <w:ind w:firstLine="539" w:firstLineChars="257"/>
        <w:rPr>
          <w:szCs w:val="21"/>
        </w:rPr>
      </w:pPr>
      <w:r>
        <w:rPr>
          <w:szCs w:val="21"/>
        </w:rPr>
        <w:t>（2）我方承诺按照</w:t>
      </w:r>
      <w:r>
        <w:rPr>
          <w:rFonts w:hint="eastAsia"/>
          <w:szCs w:val="21"/>
        </w:rPr>
        <w:t>招标文件</w:t>
      </w:r>
      <w:r>
        <w:rPr>
          <w:szCs w:val="21"/>
        </w:rPr>
        <w:t>规定向你方递交履约保证金。</w:t>
      </w:r>
    </w:p>
    <w:p w14:paraId="1ED376CE">
      <w:pPr>
        <w:spacing w:line="360" w:lineRule="exact"/>
        <w:ind w:firstLine="539" w:firstLineChars="257"/>
        <w:rPr>
          <w:szCs w:val="21"/>
        </w:rPr>
      </w:pPr>
      <w:r>
        <w:rPr>
          <w:szCs w:val="21"/>
        </w:rPr>
        <w:t>（3）</w:t>
      </w:r>
      <w:r>
        <w:rPr>
          <w:rFonts w:hint="eastAsia"/>
          <w:szCs w:val="21"/>
        </w:rPr>
        <w:t>我方将严格履行本投标文件中的全部承诺和责任，并遵守招标文件中对投标人的所有规定。</w:t>
      </w:r>
    </w:p>
    <w:p w14:paraId="31817B54">
      <w:pPr>
        <w:spacing w:line="360" w:lineRule="exact"/>
        <w:ind w:firstLine="420" w:firstLineChars="200"/>
      </w:pPr>
      <w:r>
        <w:rPr>
          <w:rFonts w:hint="eastAsia"/>
          <w:szCs w:val="21"/>
        </w:rPr>
        <w:t>6</w:t>
      </w:r>
      <w:r>
        <w:rPr>
          <w:szCs w:val="21"/>
        </w:rPr>
        <w:t>．</w:t>
      </w:r>
      <w:r>
        <w:rPr>
          <w:rFonts w:hint="eastAsia"/>
        </w:rPr>
        <w:t>我方在此声明，所递交的投标文件及有关资料内容完整、真实和准确。</w:t>
      </w:r>
    </w:p>
    <w:p w14:paraId="4F650BB9">
      <w:pPr>
        <w:adjustRightInd w:val="0"/>
        <w:snapToGrid w:val="0"/>
        <w:spacing w:line="360" w:lineRule="exact"/>
        <w:ind w:firstLine="420" w:firstLineChars="200"/>
        <w:rPr>
          <w:bCs/>
        </w:rPr>
      </w:pPr>
      <w:r>
        <w:rPr>
          <w:rFonts w:hint="eastAsia"/>
          <w:szCs w:val="21"/>
        </w:rPr>
        <w:t>7．</w:t>
      </w:r>
      <w:r>
        <w:rPr>
          <w:rFonts w:hint="eastAsia" w:ascii="宋体" w:hAnsi="宋体" w:cs="宋体"/>
          <w:bCs/>
          <w:szCs w:val="21"/>
        </w:rPr>
        <w:t>我方在此声明，不出借（挂靠）营业执照，如标中、标后被发现存在出借（挂靠）营业执照的行为，愿意无条件接受被取消投标及中标（候选人）资格、投标保证金不予退还、履约保证金不予退还、合同解除及清除出场，一切损失自行承担。</w:t>
      </w:r>
    </w:p>
    <w:p w14:paraId="727F999C">
      <w:pPr>
        <w:spacing w:line="360" w:lineRule="exact"/>
        <w:ind w:firstLine="420" w:firstLineChars="200"/>
        <w:rPr>
          <w:rFonts w:ascii="宋体" w:hAnsi="宋体"/>
          <w:szCs w:val="21"/>
        </w:rPr>
      </w:pPr>
      <w:r>
        <w:rPr>
          <w:rFonts w:hint="eastAsia"/>
          <w:szCs w:val="21"/>
        </w:rPr>
        <w:t>8．</w:t>
      </w:r>
      <w:r>
        <w:rPr>
          <w:rFonts w:hint="eastAsia" w:ascii="宋体" w:hAnsi="宋体"/>
          <w:szCs w:val="21"/>
        </w:rPr>
        <w:t>如果贵单位接受我方投标，我方保证按照招标文件的约定及时与贵单位按招标文件中审计服务合同的格式及内容签署服务合同。</w:t>
      </w:r>
    </w:p>
    <w:p w14:paraId="2434FAF9">
      <w:pPr>
        <w:spacing w:line="360" w:lineRule="exact"/>
        <w:ind w:firstLine="420" w:firstLineChars="200"/>
        <w:rPr>
          <w:rFonts w:ascii="宋体" w:hAnsi="宋体"/>
          <w:szCs w:val="21"/>
        </w:rPr>
      </w:pPr>
      <w:r>
        <w:rPr>
          <w:rFonts w:hint="eastAsia"/>
          <w:szCs w:val="21"/>
        </w:rPr>
        <w:t>9．</w:t>
      </w:r>
      <w:r>
        <w:rPr>
          <w:rFonts w:hint="eastAsia" w:ascii="宋体" w:hAnsi="宋体"/>
          <w:szCs w:val="21"/>
        </w:rPr>
        <w:t>除另外达成协议并生效，贵方的招标文件、中标通知书和我方投标文件将构成约束我们双方的合同。</w:t>
      </w:r>
    </w:p>
    <w:p w14:paraId="1F8CDB54">
      <w:pPr>
        <w:spacing w:line="360" w:lineRule="exact"/>
        <w:ind w:firstLine="420" w:firstLineChars="200"/>
        <w:rPr>
          <w:rFonts w:hAnsi="宋体" w:cs="宋体"/>
          <w:szCs w:val="21"/>
        </w:rPr>
      </w:pPr>
      <w:r>
        <w:rPr>
          <w:rFonts w:hint="eastAsia"/>
          <w:szCs w:val="21"/>
        </w:rPr>
        <w:t>10.</w:t>
      </w:r>
      <w:r>
        <w:rPr>
          <w:szCs w:val="21"/>
          <w:u w:val="single"/>
        </w:rPr>
        <w:t xml:space="preserve">                                    </w:t>
      </w:r>
      <w:r>
        <w:rPr>
          <w:szCs w:val="21"/>
        </w:rPr>
        <w:t>（</w:t>
      </w:r>
      <w:r>
        <w:rPr>
          <w:rFonts w:hint="eastAsia"/>
          <w:szCs w:val="21"/>
        </w:rPr>
        <w:t>其他</w:t>
      </w:r>
      <w:r>
        <w:rPr>
          <w:szCs w:val="21"/>
        </w:rPr>
        <w:t>补充说明）。</w:t>
      </w:r>
    </w:p>
    <w:p w14:paraId="79C6FA2E">
      <w:pPr>
        <w:pStyle w:val="125"/>
        <w:tabs>
          <w:tab w:val="left" w:pos="5665"/>
          <w:tab w:val="right" w:pos="8360"/>
        </w:tabs>
        <w:spacing w:line="360" w:lineRule="exact"/>
        <w:ind w:right="42" w:firstLine="1560" w:firstLineChars="650"/>
        <w:rPr>
          <w:rFonts w:hAnsi="宋体" w:cs="宋体"/>
          <w:sz w:val="24"/>
        </w:rPr>
      </w:pPr>
    </w:p>
    <w:p w14:paraId="6178C0A7">
      <w:pPr>
        <w:pStyle w:val="125"/>
        <w:tabs>
          <w:tab w:val="left" w:pos="5665"/>
          <w:tab w:val="right" w:pos="8360"/>
        </w:tabs>
        <w:spacing w:line="300" w:lineRule="exact"/>
        <w:ind w:right="40" w:firstLine="1560" w:firstLineChars="650"/>
        <w:rPr>
          <w:rFonts w:hAnsi="宋体" w:cs="宋体"/>
          <w:sz w:val="24"/>
          <w:u w:val="single"/>
        </w:rPr>
      </w:pPr>
      <w:r>
        <w:rPr>
          <w:rFonts w:hint="eastAsia" w:hAnsi="宋体" w:cs="宋体"/>
          <w:sz w:val="24"/>
        </w:rPr>
        <w:t>投标人(公章)：</w:t>
      </w:r>
      <w:r>
        <w:rPr>
          <w:rFonts w:hint="eastAsia" w:hAnsi="宋体" w:cs="宋体"/>
          <w:sz w:val="24"/>
          <w:u w:val="single"/>
        </w:rPr>
        <w:t xml:space="preserve">                                  </w:t>
      </w:r>
    </w:p>
    <w:p w14:paraId="7083AFF1">
      <w:pPr>
        <w:pStyle w:val="125"/>
        <w:tabs>
          <w:tab w:val="left" w:pos="5665"/>
          <w:tab w:val="right" w:pos="8360"/>
        </w:tabs>
        <w:spacing w:line="300" w:lineRule="exact"/>
        <w:ind w:right="40"/>
        <w:rPr>
          <w:rFonts w:hAnsi="宋体" w:cs="宋体"/>
          <w:sz w:val="24"/>
          <w:u w:val="single"/>
        </w:rPr>
      </w:pPr>
    </w:p>
    <w:p w14:paraId="07019243">
      <w:pPr>
        <w:pStyle w:val="125"/>
        <w:tabs>
          <w:tab w:val="left" w:pos="5665"/>
          <w:tab w:val="right" w:pos="8360"/>
        </w:tabs>
        <w:spacing w:line="300" w:lineRule="exact"/>
        <w:ind w:right="40" w:firstLine="1560" w:firstLineChars="650"/>
        <w:rPr>
          <w:rFonts w:hAnsi="宋体" w:cs="宋体"/>
          <w:sz w:val="24"/>
          <w:u w:val="single"/>
        </w:rPr>
      </w:pPr>
      <w:r>
        <w:rPr>
          <w:rFonts w:hint="eastAsia" w:hAnsi="宋体" w:cs="宋体"/>
          <w:sz w:val="24"/>
        </w:rPr>
        <w:t>法定代表人或委托代理人（签字或印章）：</w:t>
      </w:r>
      <w:r>
        <w:rPr>
          <w:rFonts w:hint="eastAsia" w:hAnsi="宋体" w:cs="宋体"/>
          <w:sz w:val="24"/>
          <w:u w:val="single"/>
        </w:rPr>
        <w:t xml:space="preserve">             </w:t>
      </w:r>
    </w:p>
    <w:p w14:paraId="6254C26B">
      <w:pPr>
        <w:pStyle w:val="125"/>
        <w:tabs>
          <w:tab w:val="left" w:pos="5665"/>
          <w:tab w:val="right" w:pos="8360"/>
        </w:tabs>
        <w:spacing w:line="300" w:lineRule="exact"/>
        <w:ind w:right="40" w:firstLine="1560" w:firstLineChars="650"/>
        <w:rPr>
          <w:rFonts w:hAnsi="宋体" w:cs="宋体"/>
          <w:sz w:val="24"/>
          <w:u w:val="single"/>
        </w:rPr>
      </w:pPr>
    </w:p>
    <w:p w14:paraId="68B377E8">
      <w:pPr>
        <w:pStyle w:val="125"/>
        <w:tabs>
          <w:tab w:val="left" w:pos="5665"/>
          <w:tab w:val="right" w:pos="8360"/>
        </w:tabs>
        <w:spacing w:line="300" w:lineRule="exact"/>
        <w:ind w:right="40" w:firstLine="1575" w:firstLineChars="750"/>
        <w:jc w:val="left"/>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14:paraId="480BF4D8">
      <w:pPr>
        <w:pStyle w:val="121"/>
        <w:adjustRightInd w:val="0"/>
        <w:snapToGrid w:val="0"/>
        <w:spacing w:before="0" w:after="0" w:line="440" w:lineRule="exact"/>
        <w:ind w:firstLine="157"/>
        <w:jc w:val="center"/>
        <w:rPr>
          <w:rFonts w:eastAsia="宋体"/>
          <w:b/>
          <w:bCs/>
          <w:sz w:val="32"/>
          <w:szCs w:val="32"/>
        </w:rPr>
      </w:pPr>
      <w:bookmarkStart w:id="492" w:name="_Toc416365576"/>
      <w:bookmarkStart w:id="493" w:name="_Toc22646"/>
      <w:bookmarkStart w:id="494" w:name="_Toc29691"/>
      <w:bookmarkStart w:id="495" w:name="_Toc5588"/>
      <w:bookmarkStart w:id="496" w:name="_Toc432433382"/>
      <w:bookmarkStart w:id="497" w:name="_Toc142470626"/>
      <w:bookmarkStart w:id="498" w:name="_Toc25731"/>
      <w:bookmarkStart w:id="499" w:name="_Toc338083042"/>
      <w:bookmarkStart w:id="500" w:name="_Toc25572"/>
      <w:bookmarkStart w:id="501" w:name="_Toc57041959"/>
      <w:bookmarkStart w:id="502" w:name="_Toc256696512"/>
      <w:bookmarkStart w:id="503" w:name="_Toc27725"/>
      <w:bookmarkStart w:id="504" w:name="_Toc432433711"/>
      <w:bookmarkStart w:id="505" w:name="_Toc426292711"/>
      <w:bookmarkStart w:id="506" w:name="_Toc427750579"/>
      <w:bookmarkStart w:id="507" w:name="_Toc255299616"/>
      <w:bookmarkStart w:id="508" w:name="_Toc431499911"/>
      <w:bookmarkStart w:id="509" w:name="_Toc214071930"/>
      <w:bookmarkStart w:id="510" w:name="_Toc426192138"/>
      <w:bookmarkStart w:id="511" w:name="_Toc234925482"/>
      <w:bookmarkStart w:id="512" w:name="_Toc12574"/>
    </w:p>
    <w:p w14:paraId="0DBCDC16">
      <w:pPr>
        <w:pStyle w:val="121"/>
        <w:adjustRightInd w:val="0"/>
        <w:snapToGrid w:val="0"/>
        <w:spacing w:before="0" w:after="0" w:line="440" w:lineRule="exact"/>
        <w:ind w:firstLine="157"/>
        <w:jc w:val="center"/>
        <w:rPr>
          <w:rFonts w:eastAsia="宋体"/>
          <w:b/>
          <w:bCs/>
          <w:sz w:val="32"/>
          <w:szCs w:val="32"/>
        </w:rPr>
      </w:pPr>
    </w:p>
    <w:p w14:paraId="2153F4C3">
      <w:pPr>
        <w:pStyle w:val="121"/>
        <w:adjustRightInd w:val="0"/>
        <w:snapToGrid w:val="0"/>
        <w:spacing w:before="0" w:after="0" w:line="440" w:lineRule="exact"/>
        <w:ind w:firstLine="157"/>
        <w:jc w:val="center"/>
        <w:rPr>
          <w:rFonts w:eastAsia="宋体"/>
          <w:b/>
          <w:bCs/>
          <w:sz w:val="32"/>
          <w:szCs w:val="32"/>
        </w:rPr>
      </w:pPr>
    </w:p>
    <w:p w14:paraId="2CE19C3B">
      <w:pPr>
        <w:pStyle w:val="121"/>
        <w:adjustRightInd w:val="0"/>
        <w:snapToGrid w:val="0"/>
        <w:spacing w:before="0" w:after="0" w:line="440" w:lineRule="exact"/>
        <w:ind w:firstLine="157"/>
        <w:jc w:val="center"/>
        <w:rPr>
          <w:rFonts w:eastAsia="宋体"/>
          <w:b/>
          <w:bCs/>
          <w:sz w:val="32"/>
          <w:szCs w:val="32"/>
        </w:rPr>
      </w:pPr>
    </w:p>
    <w:p w14:paraId="66335088">
      <w:pPr>
        <w:pStyle w:val="121"/>
        <w:keepNext w:val="0"/>
        <w:keepLines w:val="0"/>
        <w:adjustRightInd w:val="0"/>
        <w:snapToGrid w:val="0"/>
        <w:spacing w:before="0" w:after="0" w:line="440" w:lineRule="exact"/>
        <w:ind w:firstLine="157"/>
        <w:jc w:val="center"/>
        <w:rPr>
          <w:rFonts w:eastAsia="宋体"/>
          <w:b/>
          <w:bCs/>
          <w:sz w:val="32"/>
          <w:szCs w:val="32"/>
        </w:rPr>
      </w:pPr>
    </w:p>
    <w:p w14:paraId="59A56E16">
      <w:pPr>
        <w:pStyle w:val="121"/>
        <w:keepNext w:val="0"/>
        <w:keepLines w:val="0"/>
        <w:adjustRightInd w:val="0"/>
        <w:snapToGrid w:val="0"/>
        <w:spacing w:before="0" w:after="0" w:line="440" w:lineRule="exact"/>
        <w:ind w:firstLine="157"/>
        <w:jc w:val="center"/>
        <w:rPr>
          <w:rFonts w:eastAsia="宋体"/>
          <w:b/>
          <w:bCs/>
          <w:sz w:val="32"/>
          <w:szCs w:val="32"/>
        </w:rPr>
      </w:pPr>
    </w:p>
    <w:p w14:paraId="3A7D256C">
      <w:pPr>
        <w:tabs>
          <w:tab w:val="left" w:pos="5665"/>
          <w:tab w:val="right" w:pos="8360"/>
        </w:tabs>
        <w:spacing w:line="300" w:lineRule="exact"/>
        <w:ind w:right="40" w:firstLine="1260" w:firstLineChars="600"/>
        <w:jc w:val="left"/>
        <w:rPr>
          <w:rFonts w:ascii="宋体" w:hAnsi="宋体" w:cs="宋体"/>
          <w:szCs w:val="21"/>
          <w:u w:val="single"/>
        </w:rPr>
      </w:pPr>
      <w:r>
        <w:rPr>
          <w:rFonts w:hint="eastAsia" w:ascii="宋体" w:hAnsi="宋体" w:cs="宋体"/>
          <w:szCs w:val="21"/>
          <w:u w:val="single"/>
        </w:rPr>
        <w:t xml:space="preserve">    </w:t>
      </w:r>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14:paraId="6E117B7F">
      <w:pPr>
        <w:pStyle w:val="125"/>
        <w:spacing w:line="360" w:lineRule="auto"/>
        <w:jc w:val="left"/>
        <w:rPr>
          <w:rFonts w:ascii="黑体" w:hAnsi="TimesNewRomanPSMT" w:eastAsia="黑体" w:cs="宋体"/>
          <w:kern w:val="0"/>
          <w:sz w:val="30"/>
          <w:szCs w:val="30"/>
        </w:rPr>
      </w:pPr>
      <w:r>
        <w:rPr>
          <w:rFonts w:hint="eastAsia" w:hAnsi="宋体" w:cs="宋体"/>
          <w:sz w:val="32"/>
          <w:szCs w:val="32"/>
        </w:rPr>
        <w:t>2.</w:t>
      </w:r>
      <w:r>
        <w:rPr>
          <w:rFonts w:hint="eastAsia" w:ascii="黑体" w:hAnsi="TimesNewRomanPSMT" w:eastAsia="黑体" w:cs="宋体"/>
          <w:kern w:val="0"/>
          <w:sz w:val="30"/>
          <w:szCs w:val="30"/>
        </w:rPr>
        <w:t>法定代表人身份证明</w:t>
      </w:r>
    </w:p>
    <w:p w14:paraId="2FBB9A1E">
      <w:pPr>
        <w:autoSpaceDE w:val="0"/>
        <w:autoSpaceDN w:val="0"/>
        <w:adjustRightInd w:val="0"/>
        <w:spacing w:line="360" w:lineRule="auto"/>
        <w:ind w:firstLine="480" w:firstLineChars="200"/>
        <w:jc w:val="left"/>
        <w:rPr>
          <w:rFonts w:ascii="宋体" w:hAnsi="TimesNewRomanPSMT" w:cs="宋体"/>
          <w:kern w:val="0"/>
          <w:sz w:val="24"/>
        </w:rPr>
      </w:pPr>
    </w:p>
    <w:p w14:paraId="4B1448CA">
      <w:pPr>
        <w:autoSpaceDE w:val="0"/>
        <w:autoSpaceDN w:val="0"/>
        <w:adjustRightInd w:val="0"/>
        <w:spacing w:line="360" w:lineRule="auto"/>
        <w:ind w:firstLine="480" w:firstLineChars="200"/>
        <w:jc w:val="left"/>
        <w:rPr>
          <w:rFonts w:ascii="宋体" w:hAnsi="TimesNewRomanPSMT" w:cs="宋体"/>
          <w:kern w:val="0"/>
          <w:sz w:val="24"/>
        </w:rPr>
      </w:pPr>
    </w:p>
    <w:p w14:paraId="643949B1">
      <w:pPr>
        <w:autoSpaceDE w:val="0"/>
        <w:autoSpaceDN w:val="0"/>
        <w:adjustRightInd w:val="0"/>
        <w:spacing w:line="360" w:lineRule="auto"/>
        <w:jc w:val="center"/>
        <w:rPr>
          <w:rFonts w:ascii="宋体" w:hAnsi="宋体" w:cs="宋体"/>
          <w:kern w:val="0"/>
          <w:sz w:val="32"/>
          <w:szCs w:val="32"/>
        </w:rPr>
      </w:pPr>
      <w:r>
        <w:rPr>
          <w:rFonts w:hint="eastAsia" w:ascii="宋体" w:hAnsi="宋体" w:cs="宋体"/>
          <w:kern w:val="0"/>
          <w:sz w:val="32"/>
          <w:szCs w:val="32"/>
        </w:rPr>
        <w:t>法定代表人身份证明</w:t>
      </w:r>
    </w:p>
    <w:p w14:paraId="04CD031D">
      <w:pPr>
        <w:autoSpaceDE w:val="0"/>
        <w:autoSpaceDN w:val="0"/>
        <w:adjustRightInd w:val="0"/>
        <w:spacing w:line="360" w:lineRule="auto"/>
        <w:ind w:firstLine="480" w:firstLineChars="200"/>
        <w:jc w:val="left"/>
        <w:rPr>
          <w:rFonts w:ascii="宋体" w:hAnsi="TimesNewRomanPSMT" w:cs="宋体"/>
          <w:kern w:val="0"/>
          <w:sz w:val="24"/>
        </w:rPr>
      </w:pPr>
    </w:p>
    <w:p w14:paraId="47FD3405">
      <w:pPr>
        <w:autoSpaceDE w:val="0"/>
        <w:autoSpaceDN w:val="0"/>
        <w:adjustRightInd w:val="0"/>
        <w:spacing w:line="360" w:lineRule="auto"/>
        <w:ind w:firstLine="420" w:firstLineChars="200"/>
        <w:jc w:val="left"/>
        <w:rPr>
          <w:rFonts w:ascii="宋体" w:hAnsi="TimesNewRomanPSMT" w:cs="宋体"/>
          <w:kern w:val="0"/>
          <w:szCs w:val="21"/>
        </w:rPr>
      </w:pPr>
      <w:r>
        <w:rPr>
          <w:rFonts w:hint="eastAsia" w:ascii="宋体" w:hAnsi="TimesNewRomanPSMT" w:cs="宋体"/>
          <w:kern w:val="0"/>
          <w:szCs w:val="21"/>
        </w:rPr>
        <w:t>投 标 人：</w:t>
      </w:r>
      <w:r>
        <w:rPr>
          <w:rFonts w:hint="eastAsia" w:ascii="宋体" w:hAnsi="TimesNewRomanPSMT" w:cs="宋体"/>
          <w:kern w:val="0"/>
          <w:szCs w:val="21"/>
          <w:u w:val="single"/>
        </w:rPr>
        <w:t xml:space="preserve">                                                       </w:t>
      </w:r>
      <w:r>
        <w:rPr>
          <w:rFonts w:hint="eastAsia" w:ascii="宋体" w:hAnsi="TimesNewRomanPSMT" w:cs="宋体"/>
          <w:kern w:val="0"/>
          <w:szCs w:val="21"/>
        </w:rPr>
        <w:t xml:space="preserve"> </w:t>
      </w:r>
    </w:p>
    <w:p w14:paraId="57C17E67">
      <w:pPr>
        <w:autoSpaceDE w:val="0"/>
        <w:autoSpaceDN w:val="0"/>
        <w:adjustRightInd w:val="0"/>
        <w:spacing w:line="360" w:lineRule="auto"/>
        <w:ind w:firstLine="420" w:firstLineChars="200"/>
        <w:jc w:val="left"/>
        <w:rPr>
          <w:rFonts w:ascii="宋体" w:hAnsi="TimesNewRomanPSMT" w:cs="宋体"/>
          <w:kern w:val="0"/>
          <w:szCs w:val="21"/>
        </w:rPr>
      </w:pPr>
      <w:r>
        <w:rPr>
          <w:rFonts w:hint="eastAsia" w:ascii="宋体" w:hAnsi="TimesNewRomanPSMT" w:cs="宋体"/>
          <w:kern w:val="0"/>
          <w:szCs w:val="21"/>
        </w:rPr>
        <w:t>单位性质：</w:t>
      </w:r>
      <w:r>
        <w:rPr>
          <w:rFonts w:hint="eastAsia" w:ascii="宋体" w:hAnsi="TimesNewRomanPSMT" w:cs="宋体"/>
          <w:kern w:val="0"/>
          <w:szCs w:val="21"/>
          <w:u w:val="single"/>
        </w:rPr>
        <w:t xml:space="preserve">                                                       </w:t>
      </w:r>
      <w:r>
        <w:rPr>
          <w:rFonts w:hint="eastAsia" w:ascii="宋体" w:hAnsi="TimesNewRomanPSMT" w:cs="宋体"/>
          <w:kern w:val="0"/>
          <w:szCs w:val="21"/>
        </w:rPr>
        <w:t xml:space="preserve"> </w:t>
      </w:r>
    </w:p>
    <w:p w14:paraId="351B2669">
      <w:pPr>
        <w:autoSpaceDE w:val="0"/>
        <w:autoSpaceDN w:val="0"/>
        <w:adjustRightInd w:val="0"/>
        <w:spacing w:line="360" w:lineRule="auto"/>
        <w:ind w:firstLine="420" w:firstLineChars="200"/>
        <w:jc w:val="left"/>
        <w:rPr>
          <w:rFonts w:ascii="宋体" w:hAnsi="TimesNewRomanPSMT" w:cs="宋体"/>
          <w:kern w:val="0"/>
          <w:szCs w:val="21"/>
        </w:rPr>
      </w:pPr>
      <w:r>
        <w:rPr>
          <w:rFonts w:hint="eastAsia" w:ascii="宋体" w:hAnsi="TimesNewRomanPSMT" w:cs="宋体"/>
          <w:kern w:val="0"/>
          <w:szCs w:val="21"/>
        </w:rPr>
        <w:t>地    址：</w:t>
      </w:r>
      <w:r>
        <w:rPr>
          <w:rFonts w:hint="eastAsia" w:ascii="宋体" w:hAnsi="TimesNewRomanPSMT" w:cs="宋体"/>
          <w:kern w:val="0"/>
          <w:szCs w:val="21"/>
          <w:u w:val="single"/>
        </w:rPr>
        <w:t xml:space="preserve">                                                       </w:t>
      </w:r>
      <w:r>
        <w:rPr>
          <w:rFonts w:hint="eastAsia" w:ascii="宋体" w:hAnsi="TimesNewRomanPSMT" w:cs="宋体"/>
          <w:kern w:val="0"/>
          <w:szCs w:val="21"/>
        </w:rPr>
        <w:t xml:space="preserve"> </w:t>
      </w:r>
    </w:p>
    <w:p w14:paraId="6D9D60AF">
      <w:pPr>
        <w:autoSpaceDE w:val="0"/>
        <w:autoSpaceDN w:val="0"/>
        <w:adjustRightInd w:val="0"/>
        <w:spacing w:line="360" w:lineRule="auto"/>
        <w:ind w:firstLine="420" w:firstLineChars="200"/>
        <w:jc w:val="left"/>
        <w:rPr>
          <w:rFonts w:ascii="宋体" w:hAnsi="TimesNewRomanPSMT" w:cs="宋体"/>
          <w:kern w:val="0"/>
          <w:szCs w:val="21"/>
        </w:rPr>
      </w:pPr>
      <w:r>
        <w:rPr>
          <w:rFonts w:hint="eastAsia" w:ascii="宋体" w:hAnsi="TimesNewRomanPSMT" w:cs="宋体"/>
          <w:kern w:val="0"/>
          <w:szCs w:val="21"/>
        </w:rPr>
        <w:t>成立时间：</w:t>
      </w:r>
      <w:r>
        <w:rPr>
          <w:rFonts w:hint="eastAsia" w:ascii="宋体" w:hAnsi="TimesNewRomanPSMT" w:cs="宋体"/>
          <w:kern w:val="0"/>
          <w:szCs w:val="21"/>
          <w:u w:val="single"/>
        </w:rPr>
        <w:t xml:space="preserve">                 </w:t>
      </w:r>
      <w:r>
        <w:rPr>
          <w:rFonts w:hint="eastAsia" w:ascii="宋体" w:hAnsi="TimesNewRomanPSMT" w:cs="宋体"/>
          <w:kern w:val="0"/>
          <w:szCs w:val="21"/>
        </w:rPr>
        <w:t>年</w:t>
      </w:r>
      <w:r>
        <w:rPr>
          <w:rFonts w:hint="eastAsia" w:ascii="宋体" w:hAnsi="TimesNewRomanPSMT" w:cs="宋体"/>
          <w:kern w:val="0"/>
          <w:szCs w:val="21"/>
          <w:u w:val="single"/>
        </w:rPr>
        <w:t xml:space="preserve">              </w:t>
      </w:r>
      <w:r>
        <w:rPr>
          <w:rFonts w:hint="eastAsia" w:ascii="宋体" w:hAnsi="TimesNewRomanPSMT" w:cs="宋体"/>
          <w:kern w:val="0"/>
          <w:szCs w:val="21"/>
        </w:rPr>
        <w:t>月</w:t>
      </w:r>
      <w:r>
        <w:rPr>
          <w:rFonts w:hint="eastAsia" w:ascii="宋体" w:hAnsi="TimesNewRomanPSMT" w:cs="宋体"/>
          <w:kern w:val="0"/>
          <w:szCs w:val="21"/>
          <w:u w:val="single"/>
        </w:rPr>
        <w:t xml:space="preserve">              </w:t>
      </w:r>
      <w:r>
        <w:rPr>
          <w:rFonts w:hint="eastAsia" w:ascii="宋体" w:hAnsi="TimesNewRomanPSMT" w:cs="宋体"/>
          <w:kern w:val="0"/>
          <w:szCs w:val="21"/>
        </w:rPr>
        <w:t>日</w:t>
      </w:r>
    </w:p>
    <w:p w14:paraId="499311E9">
      <w:pPr>
        <w:autoSpaceDE w:val="0"/>
        <w:autoSpaceDN w:val="0"/>
        <w:adjustRightInd w:val="0"/>
        <w:spacing w:line="360" w:lineRule="auto"/>
        <w:ind w:firstLine="420" w:firstLineChars="200"/>
        <w:jc w:val="left"/>
        <w:rPr>
          <w:rFonts w:ascii="宋体" w:hAnsi="TimesNewRomanPSMT" w:cs="宋体"/>
          <w:kern w:val="0"/>
          <w:szCs w:val="21"/>
        </w:rPr>
      </w:pPr>
      <w:r>
        <w:rPr>
          <w:rFonts w:hint="eastAsia" w:ascii="宋体" w:hAnsi="TimesNewRomanPSMT" w:cs="宋体"/>
          <w:kern w:val="0"/>
          <w:szCs w:val="21"/>
        </w:rPr>
        <w:t>经营期限：</w:t>
      </w:r>
      <w:r>
        <w:rPr>
          <w:rFonts w:hint="eastAsia" w:ascii="宋体" w:hAnsi="TimesNewRomanPSMT" w:cs="宋体"/>
          <w:kern w:val="0"/>
          <w:szCs w:val="21"/>
          <w:u w:val="single"/>
        </w:rPr>
        <w:t xml:space="preserve">                                                        </w:t>
      </w:r>
    </w:p>
    <w:p w14:paraId="2A22E6B2">
      <w:pPr>
        <w:autoSpaceDE w:val="0"/>
        <w:autoSpaceDN w:val="0"/>
        <w:adjustRightInd w:val="0"/>
        <w:spacing w:line="360" w:lineRule="auto"/>
        <w:ind w:firstLine="420" w:firstLineChars="200"/>
        <w:jc w:val="left"/>
        <w:rPr>
          <w:rFonts w:ascii="宋体" w:hAnsi="TimesNewRomanPSMT" w:cs="宋体"/>
          <w:kern w:val="0"/>
          <w:szCs w:val="21"/>
        </w:rPr>
      </w:pPr>
      <w:r>
        <w:rPr>
          <w:rFonts w:hint="eastAsia" w:ascii="宋体" w:hAnsi="TimesNewRomanPSMT" w:cs="宋体"/>
          <w:kern w:val="0"/>
          <w:szCs w:val="21"/>
        </w:rPr>
        <w:t>姓    名：</w:t>
      </w:r>
      <w:r>
        <w:rPr>
          <w:rFonts w:hint="eastAsia" w:ascii="宋体" w:hAnsi="TimesNewRomanPSMT" w:cs="宋体"/>
          <w:kern w:val="0"/>
          <w:szCs w:val="21"/>
          <w:u w:val="single"/>
        </w:rPr>
        <w:t xml:space="preserve">                      </w:t>
      </w:r>
      <w:r>
        <w:rPr>
          <w:rFonts w:hint="eastAsia" w:ascii="宋体" w:hAnsi="TimesNewRomanPSMT" w:cs="宋体"/>
          <w:kern w:val="0"/>
          <w:szCs w:val="21"/>
        </w:rPr>
        <w:t xml:space="preserve">    性        别：</w:t>
      </w:r>
      <w:r>
        <w:rPr>
          <w:rFonts w:hint="eastAsia" w:ascii="宋体" w:hAnsi="TimesNewRomanPSMT" w:cs="宋体"/>
          <w:kern w:val="0"/>
          <w:szCs w:val="21"/>
          <w:u w:val="single"/>
        </w:rPr>
        <w:t xml:space="preserve">                </w:t>
      </w:r>
    </w:p>
    <w:p w14:paraId="17F90658">
      <w:pPr>
        <w:autoSpaceDE w:val="0"/>
        <w:autoSpaceDN w:val="0"/>
        <w:adjustRightInd w:val="0"/>
        <w:spacing w:line="360" w:lineRule="auto"/>
        <w:ind w:firstLine="420" w:firstLineChars="200"/>
        <w:jc w:val="left"/>
        <w:rPr>
          <w:rFonts w:ascii="宋体" w:hAnsi="TimesNewRomanPSMT" w:cs="宋体"/>
          <w:kern w:val="0"/>
          <w:szCs w:val="21"/>
        </w:rPr>
      </w:pPr>
      <w:r>
        <w:rPr>
          <w:rFonts w:hint="eastAsia" w:ascii="宋体" w:hAnsi="TimesNewRomanPSMT" w:cs="宋体"/>
          <w:kern w:val="0"/>
          <w:szCs w:val="21"/>
        </w:rPr>
        <w:t>年    龄：</w:t>
      </w:r>
      <w:r>
        <w:rPr>
          <w:rFonts w:hint="eastAsia" w:ascii="宋体" w:hAnsi="TimesNewRomanPSMT" w:cs="宋体"/>
          <w:kern w:val="0"/>
          <w:szCs w:val="21"/>
          <w:u w:val="single"/>
        </w:rPr>
        <w:t xml:space="preserve">                      </w:t>
      </w:r>
      <w:r>
        <w:rPr>
          <w:rFonts w:hint="eastAsia" w:ascii="宋体" w:hAnsi="TimesNewRomanPSMT" w:cs="宋体"/>
          <w:kern w:val="0"/>
          <w:szCs w:val="21"/>
        </w:rPr>
        <w:t xml:space="preserve">    职        务：</w:t>
      </w:r>
      <w:r>
        <w:rPr>
          <w:rFonts w:hint="eastAsia" w:ascii="宋体" w:hAnsi="TimesNewRomanPSMT" w:cs="宋体"/>
          <w:kern w:val="0"/>
          <w:szCs w:val="21"/>
          <w:u w:val="single"/>
        </w:rPr>
        <w:t xml:space="preserve">                </w:t>
      </w:r>
    </w:p>
    <w:p w14:paraId="477522FA">
      <w:pPr>
        <w:autoSpaceDE w:val="0"/>
        <w:autoSpaceDN w:val="0"/>
        <w:adjustRightInd w:val="0"/>
        <w:spacing w:line="360" w:lineRule="auto"/>
        <w:ind w:firstLine="420" w:firstLineChars="200"/>
        <w:jc w:val="left"/>
        <w:rPr>
          <w:rFonts w:ascii="宋体" w:hAnsi="TimesNewRomanPSMT" w:cs="宋体"/>
          <w:kern w:val="0"/>
          <w:szCs w:val="21"/>
        </w:rPr>
      </w:pPr>
      <w:r>
        <w:rPr>
          <w:rFonts w:hint="eastAsia" w:ascii="宋体" w:hAnsi="TimesNewRomanPSMT" w:cs="宋体"/>
          <w:kern w:val="0"/>
          <w:szCs w:val="21"/>
        </w:rPr>
        <w:t>系</w:t>
      </w:r>
      <w:r>
        <w:rPr>
          <w:rFonts w:hint="eastAsia" w:ascii="宋体" w:hAnsi="TimesNewRomanPSMT" w:cs="宋体"/>
          <w:kern w:val="0"/>
          <w:szCs w:val="21"/>
          <w:u w:val="single"/>
        </w:rPr>
        <w:t xml:space="preserve">                                    </w:t>
      </w:r>
      <w:r>
        <w:rPr>
          <w:rFonts w:hint="eastAsia" w:ascii="宋体" w:hAnsi="TimesNewRomanPSMT" w:cs="宋体"/>
          <w:kern w:val="0"/>
          <w:szCs w:val="21"/>
        </w:rPr>
        <w:t>（投标人名称）的法定代表人。</w:t>
      </w:r>
    </w:p>
    <w:p w14:paraId="73CBB5D2">
      <w:pPr>
        <w:autoSpaceDE w:val="0"/>
        <w:autoSpaceDN w:val="0"/>
        <w:adjustRightInd w:val="0"/>
        <w:spacing w:line="360" w:lineRule="auto"/>
        <w:ind w:firstLine="840" w:firstLineChars="400"/>
        <w:jc w:val="left"/>
        <w:rPr>
          <w:rFonts w:ascii="宋体" w:hAnsi="TimesNewRomanPSMT" w:cs="宋体"/>
          <w:kern w:val="0"/>
          <w:szCs w:val="21"/>
        </w:rPr>
      </w:pPr>
      <w:r>
        <w:rPr>
          <w:rFonts w:hint="eastAsia" w:ascii="宋体" w:hAnsi="TimesNewRomanPSMT" w:cs="宋体"/>
          <w:kern w:val="0"/>
          <w:szCs w:val="21"/>
        </w:rPr>
        <w:t>特此证明。</w:t>
      </w:r>
    </w:p>
    <w:p w14:paraId="690B33CB">
      <w:pPr>
        <w:autoSpaceDE w:val="0"/>
        <w:autoSpaceDN w:val="0"/>
        <w:adjustRightInd w:val="0"/>
        <w:spacing w:line="360" w:lineRule="auto"/>
        <w:ind w:firstLine="420" w:firstLineChars="200"/>
        <w:jc w:val="left"/>
        <w:rPr>
          <w:rFonts w:ascii="宋体" w:hAnsi="TimesNewRomanPSMT" w:cs="宋体"/>
          <w:kern w:val="0"/>
          <w:szCs w:val="21"/>
        </w:rPr>
      </w:pPr>
    </w:p>
    <w:p w14:paraId="6DCEF259">
      <w:pPr>
        <w:autoSpaceDE w:val="0"/>
        <w:autoSpaceDN w:val="0"/>
        <w:adjustRightInd w:val="0"/>
        <w:spacing w:line="360" w:lineRule="auto"/>
        <w:ind w:firstLine="422" w:firstLineChars="200"/>
        <w:jc w:val="left"/>
        <w:rPr>
          <w:rFonts w:ascii="宋体" w:hAnsi="TimesNewRomanPSMT" w:cs="宋体"/>
          <w:b/>
          <w:bCs/>
          <w:kern w:val="0"/>
          <w:szCs w:val="21"/>
        </w:rPr>
      </w:pPr>
      <w:r>
        <w:rPr>
          <w:rFonts w:hint="eastAsia" w:ascii="宋体" w:hAnsi="TimesNewRomanPSMT" w:cs="宋体"/>
          <w:b/>
          <w:bCs/>
          <w:kern w:val="0"/>
          <w:szCs w:val="21"/>
          <w:u w:val="single"/>
        </w:rPr>
        <w:t>附：法定代表人身份证复印件。</w:t>
      </w:r>
    </w:p>
    <w:p w14:paraId="373426FC">
      <w:pPr>
        <w:autoSpaceDE w:val="0"/>
        <w:autoSpaceDN w:val="0"/>
        <w:adjustRightInd w:val="0"/>
        <w:spacing w:line="360" w:lineRule="auto"/>
        <w:ind w:firstLine="420" w:firstLineChars="200"/>
        <w:jc w:val="left"/>
        <w:rPr>
          <w:rFonts w:ascii="宋体" w:hAnsi="TimesNewRomanPSMT" w:cs="宋体"/>
          <w:kern w:val="0"/>
          <w:szCs w:val="21"/>
        </w:rPr>
      </w:pPr>
    </w:p>
    <w:p w14:paraId="66C865B0">
      <w:pPr>
        <w:autoSpaceDE w:val="0"/>
        <w:autoSpaceDN w:val="0"/>
        <w:adjustRightInd w:val="0"/>
        <w:spacing w:line="360" w:lineRule="auto"/>
        <w:ind w:firstLine="420" w:firstLineChars="200"/>
        <w:jc w:val="left"/>
        <w:rPr>
          <w:rFonts w:ascii="宋体" w:hAnsi="TimesNewRomanPSMT" w:cs="宋体"/>
          <w:kern w:val="0"/>
          <w:szCs w:val="21"/>
        </w:rPr>
      </w:pPr>
    </w:p>
    <w:p w14:paraId="30F21077">
      <w:pPr>
        <w:autoSpaceDE w:val="0"/>
        <w:autoSpaceDN w:val="0"/>
        <w:adjustRightInd w:val="0"/>
        <w:spacing w:line="360" w:lineRule="auto"/>
        <w:ind w:firstLine="420" w:firstLineChars="200"/>
        <w:jc w:val="left"/>
        <w:rPr>
          <w:rFonts w:ascii="宋体" w:hAnsi="TimesNewRomanPSMT" w:cs="宋体"/>
          <w:kern w:val="0"/>
          <w:szCs w:val="21"/>
        </w:rPr>
      </w:pPr>
    </w:p>
    <w:p w14:paraId="516E84EA">
      <w:pPr>
        <w:autoSpaceDE w:val="0"/>
        <w:autoSpaceDN w:val="0"/>
        <w:adjustRightInd w:val="0"/>
        <w:spacing w:line="360" w:lineRule="auto"/>
        <w:ind w:firstLine="420" w:firstLineChars="200"/>
        <w:jc w:val="left"/>
        <w:rPr>
          <w:rFonts w:ascii="宋体" w:hAnsi="TimesNewRomanPSMT" w:cs="宋体"/>
          <w:kern w:val="0"/>
          <w:szCs w:val="21"/>
        </w:rPr>
      </w:pPr>
    </w:p>
    <w:p w14:paraId="17EDDD20">
      <w:pPr>
        <w:autoSpaceDE w:val="0"/>
        <w:autoSpaceDN w:val="0"/>
        <w:adjustRightInd w:val="0"/>
        <w:spacing w:line="360" w:lineRule="auto"/>
        <w:ind w:firstLine="1995" w:firstLineChars="950"/>
        <w:jc w:val="left"/>
        <w:rPr>
          <w:rFonts w:ascii="宋体" w:hAnsi="TimesNewRomanPSMT" w:cs="宋体"/>
          <w:kern w:val="0"/>
          <w:szCs w:val="21"/>
        </w:rPr>
      </w:pPr>
      <w:r>
        <w:rPr>
          <w:rFonts w:hint="eastAsia" w:ascii="宋体" w:hAnsi="TimesNewRomanPSMT" w:cs="宋体"/>
          <w:kern w:val="0"/>
          <w:szCs w:val="21"/>
        </w:rPr>
        <w:t>投标人：</w:t>
      </w:r>
      <w:r>
        <w:rPr>
          <w:rFonts w:hint="eastAsia" w:ascii="宋体" w:hAnsi="TimesNewRomanPSMT" w:cs="宋体"/>
          <w:kern w:val="0"/>
          <w:szCs w:val="21"/>
          <w:u w:val="single"/>
        </w:rPr>
        <w:t xml:space="preserve">                          </w:t>
      </w:r>
      <w:r>
        <w:rPr>
          <w:rFonts w:hint="eastAsia" w:ascii="宋体" w:hAnsi="TimesNewRomanPSMT" w:cs="宋体"/>
          <w:kern w:val="0"/>
          <w:szCs w:val="21"/>
        </w:rPr>
        <w:t>（盖单位章）</w:t>
      </w:r>
    </w:p>
    <w:p w14:paraId="1B48DF7B">
      <w:pPr>
        <w:autoSpaceDE w:val="0"/>
        <w:autoSpaceDN w:val="0"/>
        <w:adjustRightInd w:val="0"/>
        <w:spacing w:line="360" w:lineRule="auto"/>
        <w:ind w:firstLine="420" w:firstLineChars="200"/>
        <w:jc w:val="left"/>
        <w:rPr>
          <w:rFonts w:ascii="宋体" w:hAnsi="TimesNewRomanPSMT" w:cs="宋体"/>
          <w:kern w:val="0"/>
          <w:szCs w:val="21"/>
        </w:rPr>
      </w:pPr>
      <w:r>
        <w:rPr>
          <w:rFonts w:hint="eastAsia" w:ascii="宋体" w:hAnsi="TimesNewRomanPSMT" w:cs="宋体"/>
          <w:kern w:val="0"/>
          <w:szCs w:val="21"/>
        </w:rPr>
        <w:t xml:space="preserve">                日期： </w:t>
      </w:r>
      <w:r>
        <w:rPr>
          <w:rFonts w:hint="eastAsia" w:ascii="宋体" w:hAnsi="TimesNewRomanPSMT" w:cs="宋体"/>
          <w:kern w:val="0"/>
          <w:szCs w:val="21"/>
          <w:u w:val="single"/>
        </w:rPr>
        <w:t xml:space="preserve">          </w:t>
      </w:r>
      <w:r>
        <w:rPr>
          <w:rFonts w:hint="eastAsia" w:ascii="宋体" w:hAnsi="TimesNewRomanPSMT" w:cs="宋体"/>
          <w:kern w:val="0"/>
          <w:szCs w:val="21"/>
        </w:rPr>
        <w:t>年</w:t>
      </w:r>
      <w:r>
        <w:rPr>
          <w:rFonts w:hint="eastAsia" w:ascii="宋体" w:hAnsi="TimesNewRomanPSMT" w:cs="宋体"/>
          <w:kern w:val="0"/>
          <w:szCs w:val="21"/>
          <w:u w:val="single"/>
        </w:rPr>
        <w:t xml:space="preserve">        </w:t>
      </w:r>
      <w:r>
        <w:rPr>
          <w:rFonts w:hint="eastAsia" w:ascii="宋体" w:hAnsi="TimesNewRomanPSMT" w:cs="宋体"/>
          <w:kern w:val="0"/>
          <w:szCs w:val="21"/>
        </w:rPr>
        <w:t>月</w:t>
      </w:r>
      <w:r>
        <w:rPr>
          <w:rFonts w:hint="eastAsia" w:ascii="宋体" w:hAnsi="TimesNewRomanPSMT" w:cs="宋体"/>
          <w:kern w:val="0"/>
          <w:szCs w:val="21"/>
          <w:u w:val="single"/>
        </w:rPr>
        <w:t xml:space="preserve">        </w:t>
      </w:r>
      <w:r>
        <w:rPr>
          <w:rFonts w:hint="eastAsia" w:ascii="宋体" w:hAnsi="TimesNewRomanPSMT" w:cs="宋体"/>
          <w:kern w:val="0"/>
          <w:szCs w:val="21"/>
        </w:rPr>
        <w:t xml:space="preserve">日  </w:t>
      </w:r>
    </w:p>
    <w:p w14:paraId="55B236C4">
      <w:pPr>
        <w:pStyle w:val="125"/>
        <w:tabs>
          <w:tab w:val="left" w:pos="5665"/>
          <w:tab w:val="right" w:pos="8360"/>
        </w:tabs>
        <w:spacing w:line="360" w:lineRule="auto"/>
        <w:ind w:right="42" w:firstLine="1575" w:firstLineChars="750"/>
        <w:jc w:val="left"/>
        <w:rPr>
          <w:rFonts w:hAnsi="宋体" w:cs="宋体"/>
          <w:sz w:val="21"/>
          <w:szCs w:val="21"/>
          <w:u w:val="single"/>
        </w:rPr>
      </w:pPr>
    </w:p>
    <w:p w14:paraId="30EBE92D">
      <w:pPr>
        <w:keepNext/>
        <w:keepLines/>
        <w:spacing w:before="100" w:line="400" w:lineRule="exact"/>
        <w:jc w:val="left"/>
        <w:outlineLvl w:val="1"/>
        <w:rPr>
          <w:b/>
          <w:szCs w:val="21"/>
        </w:rPr>
      </w:pPr>
      <w:r>
        <w:rPr>
          <w:rFonts w:hint="eastAsia" w:hAnsi="宋体" w:cs="宋体"/>
          <w:szCs w:val="21"/>
          <w:u w:val="single"/>
        </w:rPr>
        <w:br w:type="page"/>
      </w:r>
      <w:bookmarkStart w:id="513" w:name="_Toc57041960"/>
      <w:bookmarkStart w:id="514" w:name="_Toc10700"/>
      <w:bookmarkStart w:id="515" w:name="_Toc13603"/>
      <w:r>
        <w:rPr>
          <w:rFonts w:hint="eastAsia" w:ascii="宋体" w:hAnsi="宋体" w:cs="宋体"/>
          <w:sz w:val="32"/>
          <w:szCs w:val="32"/>
        </w:rPr>
        <w:t>3.</w:t>
      </w:r>
      <w:r>
        <w:rPr>
          <w:rFonts w:hint="eastAsia" w:eastAsia="黑体" w:cs="宋体"/>
          <w:sz w:val="32"/>
          <w:szCs w:val="32"/>
        </w:rPr>
        <w:t>授权委托书</w:t>
      </w:r>
      <w:bookmarkEnd w:id="513"/>
      <w:bookmarkEnd w:id="514"/>
      <w:bookmarkEnd w:id="515"/>
      <w:r>
        <w:rPr>
          <w:rFonts w:hint="eastAsia"/>
          <w:b/>
          <w:sz w:val="32"/>
          <w:szCs w:val="32"/>
        </w:rPr>
        <w:t xml:space="preserve"> </w:t>
      </w:r>
      <w:bookmarkStart w:id="516" w:name="_Toc179632812"/>
      <w:bookmarkStart w:id="517" w:name="_Toc144974861"/>
      <w:bookmarkStart w:id="518" w:name="_Toc152042581"/>
      <w:bookmarkStart w:id="519" w:name="_Toc152045792"/>
    </w:p>
    <w:p w14:paraId="655D335E">
      <w:pPr>
        <w:keepNext/>
        <w:keepLines/>
        <w:spacing w:before="100" w:line="400" w:lineRule="exact"/>
        <w:jc w:val="center"/>
        <w:outlineLvl w:val="1"/>
        <w:rPr>
          <w:rFonts w:eastAsia="黑体" w:cs="宋体"/>
          <w:sz w:val="28"/>
          <w:szCs w:val="20"/>
        </w:rPr>
      </w:pPr>
      <w:bookmarkStart w:id="520" w:name="_Toc32361"/>
      <w:bookmarkStart w:id="521" w:name="_Toc18571"/>
      <w:bookmarkStart w:id="522" w:name="_Toc57041961"/>
      <w:r>
        <w:rPr>
          <w:rFonts w:hint="eastAsia" w:eastAsia="黑体" w:cs="宋体"/>
          <w:sz w:val="28"/>
          <w:szCs w:val="20"/>
        </w:rPr>
        <w:t>授权委托书</w:t>
      </w:r>
      <w:bookmarkEnd w:id="516"/>
      <w:bookmarkEnd w:id="517"/>
      <w:bookmarkEnd w:id="518"/>
      <w:bookmarkEnd w:id="519"/>
      <w:bookmarkEnd w:id="520"/>
      <w:bookmarkEnd w:id="521"/>
      <w:bookmarkEnd w:id="522"/>
    </w:p>
    <w:p w14:paraId="43889D0D">
      <w:pPr>
        <w:spacing w:line="440" w:lineRule="exact"/>
        <w:rPr>
          <w:b/>
          <w:szCs w:val="21"/>
        </w:rPr>
      </w:pPr>
    </w:p>
    <w:p w14:paraId="6AFDD7E2">
      <w:pPr>
        <w:spacing w:line="440" w:lineRule="exact"/>
        <w:ind w:firstLine="420" w:firstLineChars="200"/>
        <w:rPr>
          <w:szCs w:val="21"/>
        </w:rPr>
      </w:pPr>
      <w:r>
        <w:rPr>
          <w:rFonts w:hint="eastAsia"/>
          <w:szCs w:val="21"/>
        </w:rPr>
        <w:t>本人</w:t>
      </w:r>
      <w:r>
        <w:rPr>
          <w:szCs w:val="21"/>
          <w:u w:val="single"/>
        </w:rPr>
        <w:t xml:space="preserve">    </w:t>
      </w:r>
      <w:r>
        <w:rPr>
          <w:rFonts w:hint="eastAsia"/>
          <w:szCs w:val="21"/>
          <w:u w:val="single"/>
        </w:rPr>
        <w:t xml:space="preserve">                            </w:t>
      </w:r>
      <w:r>
        <w:rPr>
          <w:rFonts w:hint="eastAsia"/>
          <w:szCs w:val="21"/>
        </w:rPr>
        <w:t>（姓名、身份证号）系</w:t>
      </w:r>
      <w:r>
        <w:rPr>
          <w:szCs w:val="21"/>
          <w:u w:val="single"/>
        </w:rPr>
        <w:t xml:space="preserve">       </w:t>
      </w:r>
      <w:r>
        <w:rPr>
          <w:rFonts w:hint="eastAsia"/>
          <w:szCs w:val="21"/>
          <w:u w:val="single"/>
        </w:rPr>
        <w:t xml:space="preserve">           </w:t>
      </w:r>
      <w:r>
        <w:rPr>
          <w:szCs w:val="21"/>
          <w:u w:val="single"/>
        </w:rPr>
        <w:t xml:space="preserve"> </w:t>
      </w:r>
      <w:r>
        <w:rPr>
          <w:rFonts w:hint="eastAsia"/>
          <w:szCs w:val="21"/>
        </w:rPr>
        <w:t>（投标人名称）的法定代表人，现委托</w:t>
      </w:r>
      <w:r>
        <w:rPr>
          <w:szCs w:val="21"/>
          <w:u w:val="single"/>
        </w:rPr>
        <w:t xml:space="preserve">        </w:t>
      </w:r>
      <w:r>
        <w:rPr>
          <w:rFonts w:hint="eastAsia"/>
          <w:szCs w:val="21"/>
          <w:u w:val="single"/>
        </w:rPr>
        <w:t xml:space="preserve">                </w:t>
      </w:r>
      <w:r>
        <w:rPr>
          <w:rFonts w:hint="eastAsia"/>
          <w:szCs w:val="21"/>
        </w:rPr>
        <w:t>（姓名、身份证号）为我方代理人。代理人根据授权，以我方名义签署、澄清、说明、补正、递交、撤回、修改</w:t>
      </w:r>
      <w:r>
        <w:rPr>
          <w:szCs w:val="21"/>
          <w:u w:val="single"/>
        </w:rPr>
        <w:t xml:space="preserve">           </w:t>
      </w:r>
      <w:r>
        <w:rPr>
          <w:rFonts w:hint="eastAsia" w:ascii="宋体" w:hAnsi="宋体" w:cs="宋体"/>
          <w:kern w:val="0"/>
          <w:szCs w:val="21"/>
          <w:u w:val="single"/>
        </w:rPr>
        <w:t xml:space="preserve">  （标段名称）</w:t>
      </w:r>
      <w:r>
        <w:rPr>
          <w:rFonts w:hint="eastAsia" w:ascii="宋体" w:hAnsi="宋体" w:cs="宋体"/>
          <w:kern w:val="0"/>
          <w:szCs w:val="21"/>
        </w:rPr>
        <w:t>投标文件、签订合同</w:t>
      </w:r>
      <w:r>
        <w:rPr>
          <w:rFonts w:hint="eastAsia"/>
          <w:szCs w:val="21"/>
        </w:rPr>
        <w:t>和处理（标后异议、投诉等）投标全过程各项事宜，其法律后果由我方承担。</w:t>
      </w:r>
    </w:p>
    <w:p w14:paraId="274FE2FA">
      <w:pPr>
        <w:spacing w:line="440" w:lineRule="exact"/>
        <w:rPr>
          <w:szCs w:val="21"/>
        </w:rPr>
      </w:pPr>
      <w:r>
        <w:rPr>
          <w:szCs w:val="21"/>
        </w:rPr>
        <w:t xml:space="preserve"> </w:t>
      </w:r>
      <w:r>
        <w:rPr>
          <w:rFonts w:hint="eastAsia"/>
          <w:szCs w:val="21"/>
        </w:rPr>
        <w:t>委托期限：</w:t>
      </w:r>
      <w:r>
        <w:rPr>
          <w:szCs w:val="21"/>
          <w:u w:val="single"/>
        </w:rPr>
        <w:t xml:space="preserve">             </w:t>
      </w:r>
      <w:r>
        <w:rPr>
          <w:rFonts w:hint="eastAsia"/>
          <w:szCs w:val="21"/>
        </w:rPr>
        <w:t>。</w:t>
      </w:r>
    </w:p>
    <w:p w14:paraId="3EC35D9F">
      <w:pPr>
        <w:spacing w:line="440" w:lineRule="exact"/>
        <w:ind w:firstLine="420" w:firstLineChars="200"/>
        <w:rPr>
          <w:szCs w:val="21"/>
        </w:rPr>
      </w:pPr>
      <w:r>
        <w:rPr>
          <w:rFonts w:hint="eastAsia"/>
          <w:szCs w:val="21"/>
        </w:rPr>
        <w:t>代理人无转委托权。</w:t>
      </w:r>
    </w:p>
    <w:p w14:paraId="67EB7D91">
      <w:pPr>
        <w:spacing w:line="440" w:lineRule="exact"/>
        <w:ind w:firstLine="420" w:firstLineChars="200"/>
        <w:rPr>
          <w:bCs/>
          <w:szCs w:val="21"/>
          <w:u w:val="single"/>
        </w:rPr>
      </w:pPr>
      <w:r>
        <w:rPr>
          <w:rFonts w:hint="eastAsia"/>
          <w:bCs/>
          <w:szCs w:val="21"/>
          <w:u w:val="single"/>
        </w:rPr>
        <w:t>附：委托代理人身份证明</w:t>
      </w:r>
    </w:p>
    <w:p w14:paraId="503D1797">
      <w:pPr>
        <w:spacing w:line="440" w:lineRule="exact"/>
        <w:rPr>
          <w:szCs w:val="21"/>
        </w:rPr>
      </w:pPr>
    </w:p>
    <w:p w14:paraId="52BED59E">
      <w:pPr>
        <w:spacing w:line="440" w:lineRule="exact"/>
        <w:rPr>
          <w:szCs w:val="21"/>
        </w:rPr>
      </w:pPr>
    </w:p>
    <w:p w14:paraId="7E15FF76">
      <w:pPr>
        <w:spacing w:line="440" w:lineRule="exact"/>
        <w:rPr>
          <w:szCs w:val="21"/>
        </w:rPr>
      </w:pPr>
      <w:r>
        <w:rPr>
          <w:rFonts w:hint="eastAsia"/>
          <w:szCs w:val="21"/>
        </w:rPr>
        <w:t>投标人：</w:t>
      </w:r>
      <w:r>
        <w:rPr>
          <w:szCs w:val="21"/>
          <w:u w:val="single"/>
        </w:rPr>
        <w:t xml:space="preserve">                               </w:t>
      </w:r>
      <w:r>
        <w:rPr>
          <w:rFonts w:hint="eastAsia"/>
          <w:szCs w:val="21"/>
        </w:rPr>
        <w:t>（盖单位章）</w:t>
      </w:r>
    </w:p>
    <w:p w14:paraId="2CF655BE">
      <w:pPr>
        <w:spacing w:line="440" w:lineRule="exact"/>
        <w:rPr>
          <w:szCs w:val="21"/>
        </w:rPr>
      </w:pPr>
    </w:p>
    <w:p w14:paraId="014427E1">
      <w:pPr>
        <w:spacing w:line="440" w:lineRule="exact"/>
        <w:rPr>
          <w:szCs w:val="21"/>
        </w:rPr>
      </w:pPr>
      <w:r>
        <w:rPr>
          <w:rFonts w:hint="eastAsia"/>
          <w:szCs w:val="21"/>
        </w:rPr>
        <w:t>法定代表人：</w:t>
      </w:r>
      <w:r>
        <w:rPr>
          <w:szCs w:val="21"/>
          <w:u w:val="single"/>
        </w:rPr>
        <w:t xml:space="preserve">                               </w:t>
      </w:r>
      <w:r>
        <w:rPr>
          <w:rFonts w:hint="eastAsia"/>
          <w:szCs w:val="21"/>
        </w:rPr>
        <w:t>（签字）</w:t>
      </w:r>
    </w:p>
    <w:p w14:paraId="2EBA8BA7">
      <w:pPr>
        <w:spacing w:line="440" w:lineRule="exact"/>
        <w:rPr>
          <w:szCs w:val="21"/>
        </w:rPr>
      </w:pPr>
    </w:p>
    <w:p w14:paraId="458C3FE3">
      <w:pPr>
        <w:spacing w:line="440" w:lineRule="exact"/>
        <w:rPr>
          <w:szCs w:val="21"/>
        </w:rPr>
      </w:pPr>
      <w:r>
        <w:rPr>
          <w:rFonts w:hint="eastAsia"/>
          <w:szCs w:val="21"/>
        </w:rPr>
        <w:t>身份证号码：</w:t>
      </w:r>
      <w:r>
        <w:rPr>
          <w:szCs w:val="21"/>
          <w:u w:val="single"/>
        </w:rPr>
        <w:t xml:space="preserve">                                     </w:t>
      </w:r>
    </w:p>
    <w:p w14:paraId="307BD1FA">
      <w:pPr>
        <w:spacing w:line="440" w:lineRule="exact"/>
        <w:rPr>
          <w:szCs w:val="21"/>
        </w:rPr>
      </w:pPr>
    </w:p>
    <w:p w14:paraId="19333233">
      <w:pPr>
        <w:spacing w:line="440" w:lineRule="exact"/>
        <w:rPr>
          <w:szCs w:val="21"/>
        </w:rPr>
      </w:pPr>
      <w:r>
        <w:rPr>
          <w:rFonts w:hint="eastAsia"/>
          <w:szCs w:val="21"/>
        </w:rPr>
        <w:t>委托代理人：</w:t>
      </w:r>
      <w:r>
        <w:rPr>
          <w:szCs w:val="21"/>
          <w:u w:val="single"/>
        </w:rPr>
        <w:t xml:space="preserve">                                   </w:t>
      </w:r>
      <w:r>
        <w:rPr>
          <w:rFonts w:hint="eastAsia"/>
          <w:szCs w:val="21"/>
        </w:rPr>
        <w:t>（签字）</w:t>
      </w:r>
      <w:r>
        <w:rPr>
          <w:szCs w:val="21"/>
        </w:rPr>
        <w:t xml:space="preserve"> </w:t>
      </w:r>
    </w:p>
    <w:p w14:paraId="5C1981DA">
      <w:pPr>
        <w:spacing w:line="440" w:lineRule="exact"/>
        <w:rPr>
          <w:szCs w:val="21"/>
        </w:rPr>
      </w:pPr>
    </w:p>
    <w:p w14:paraId="5997724B">
      <w:pPr>
        <w:spacing w:line="440" w:lineRule="exact"/>
        <w:rPr>
          <w:szCs w:val="21"/>
        </w:rPr>
      </w:pPr>
      <w:r>
        <w:rPr>
          <w:rFonts w:hint="eastAsia"/>
          <w:szCs w:val="21"/>
        </w:rPr>
        <w:t>身份证号码：</w:t>
      </w:r>
      <w:r>
        <w:rPr>
          <w:szCs w:val="21"/>
          <w:u w:val="single"/>
        </w:rPr>
        <w:t xml:space="preserve">                                      </w:t>
      </w:r>
    </w:p>
    <w:p w14:paraId="220888E1">
      <w:pPr>
        <w:spacing w:line="440" w:lineRule="exact"/>
        <w:rPr>
          <w:szCs w:val="21"/>
        </w:rPr>
      </w:pPr>
    </w:p>
    <w:p w14:paraId="3C77ED37">
      <w:pPr>
        <w:spacing w:line="440" w:lineRule="exact"/>
        <w:rPr>
          <w:szCs w:val="21"/>
        </w:rPr>
      </w:pPr>
    </w:p>
    <w:p w14:paraId="5FD429C6">
      <w:pPr>
        <w:spacing w:before="156" w:beforeLines="50" w:after="312" w:afterLines="100" w:line="440" w:lineRule="exact"/>
        <w:jc w:val="right"/>
        <w:rPr>
          <w:b/>
          <w:szCs w:val="21"/>
        </w:rPr>
      </w:pPr>
      <w:r>
        <w:rPr>
          <w:rFonts w:hint="eastAsia"/>
          <w:sz w:val="24"/>
          <w:szCs w:val="28"/>
        </w:rPr>
        <w:t>日期：</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p w14:paraId="6953861E">
      <w:pPr>
        <w:spacing w:line="540" w:lineRule="exact"/>
        <w:jc w:val="left"/>
        <w:rPr>
          <w:sz w:val="32"/>
          <w:szCs w:val="32"/>
        </w:rPr>
      </w:pPr>
      <w:r>
        <w:rPr>
          <w:rFonts w:hint="eastAsia"/>
          <w:b/>
          <w:szCs w:val="21"/>
        </w:rPr>
        <w:br w:type="page"/>
      </w:r>
      <w:bookmarkStart w:id="523" w:name="_Toc5870"/>
      <w:bookmarkStart w:id="524" w:name="_Toc387526445"/>
      <w:bookmarkStart w:id="525" w:name="_Toc387526353"/>
      <w:bookmarkStart w:id="526" w:name="_Toc387526249"/>
    </w:p>
    <w:p w14:paraId="584ACE4C">
      <w:pPr>
        <w:pStyle w:val="13"/>
        <w:snapToGrid w:val="0"/>
        <w:spacing w:line="360" w:lineRule="auto"/>
        <w:ind w:firstLine="422"/>
        <w:jc w:val="left"/>
      </w:pPr>
      <w:r>
        <w:rPr>
          <w:sz w:val="32"/>
          <w:szCs w:val="32"/>
        </w:rPr>
        <w:t>4</w:t>
      </w:r>
      <w:r>
        <w:rPr>
          <w:rFonts w:hint="eastAsia"/>
          <w:sz w:val="32"/>
          <w:szCs w:val="32"/>
        </w:rPr>
        <w:t>.资格审查资料</w:t>
      </w:r>
    </w:p>
    <w:p w14:paraId="48D90DD4">
      <w:pPr>
        <w:shd w:val="clear" w:color="auto" w:fill="FFFFFF"/>
        <w:spacing w:line="360" w:lineRule="auto"/>
        <w:ind w:firstLine="422" w:firstLineChars="200"/>
        <w:rPr>
          <w:rFonts w:ascii="宋体"/>
          <w:b/>
          <w:szCs w:val="21"/>
        </w:rPr>
      </w:pPr>
      <w:r>
        <w:rPr>
          <w:rFonts w:hint="eastAsia" w:ascii="宋体" w:hAnsi="宋体"/>
          <w:b/>
          <w:snapToGrid w:val="0"/>
          <w:szCs w:val="21"/>
          <w:u w:val="single"/>
        </w:rPr>
        <w:t>注：根据招标文件要求，提供相应的证明材料，缺少任何一项将导致资格审查不合格，按无效标处理。</w:t>
      </w:r>
    </w:p>
    <w:bookmarkEnd w:id="523"/>
    <w:bookmarkEnd w:id="524"/>
    <w:bookmarkEnd w:id="525"/>
    <w:bookmarkEnd w:id="526"/>
    <w:p w14:paraId="49F45E26">
      <w:pPr>
        <w:pStyle w:val="112"/>
        <w:rPr>
          <w:color w:val="auto"/>
          <w:sz w:val="21"/>
          <w:szCs w:val="21"/>
        </w:rPr>
      </w:pPr>
      <w:bookmarkStart w:id="527" w:name="_Toc57041962"/>
      <w:r>
        <w:rPr>
          <w:rFonts w:hint="eastAsia"/>
          <w:color w:val="auto"/>
          <w:sz w:val="21"/>
          <w:szCs w:val="21"/>
        </w:rPr>
        <w:t>本项目资格审查涉及到的材料均须在投标文件中提供复印件加盖公章，否则视为资格审查不通过。</w:t>
      </w:r>
      <w:bookmarkEnd w:id="527"/>
    </w:p>
    <w:p w14:paraId="3ECCB35E">
      <w:pPr>
        <w:jc w:val="center"/>
        <w:rPr>
          <w:rFonts w:ascii="宋体" w:hAnsi="宋体"/>
          <w:sz w:val="36"/>
          <w:szCs w:val="36"/>
        </w:rPr>
      </w:pPr>
    </w:p>
    <w:p w14:paraId="4E09F5A3">
      <w:pPr>
        <w:jc w:val="center"/>
        <w:rPr>
          <w:rFonts w:ascii="宋体" w:hAnsi="宋体"/>
          <w:sz w:val="36"/>
          <w:szCs w:val="36"/>
        </w:rPr>
      </w:pPr>
    </w:p>
    <w:p w14:paraId="6F215BE8">
      <w:pPr>
        <w:jc w:val="center"/>
        <w:rPr>
          <w:rFonts w:ascii="宋体" w:hAnsi="宋体"/>
          <w:sz w:val="36"/>
          <w:szCs w:val="36"/>
        </w:rPr>
      </w:pPr>
    </w:p>
    <w:p w14:paraId="6DCFD07C">
      <w:pPr>
        <w:jc w:val="center"/>
        <w:rPr>
          <w:rFonts w:ascii="宋体" w:hAnsi="宋体"/>
          <w:sz w:val="36"/>
          <w:szCs w:val="36"/>
        </w:rPr>
      </w:pPr>
    </w:p>
    <w:p w14:paraId="587E12F7">
      <w:pPr>
        <w:jc w:val="center"/>
        <w:rPr>
          <w:rFonts w:ascii="宋体" w:hAnsi="宋体"/>
          <w:sz w:val="36"/>
          <w:szCs w:val="36"/>
        </w:rPr>
      </w:pPr>
    </w:p>
    <w:p w14:paraId="77AA798D">
      <w:pPr>
        <w:jc w:val="center"/>
        <w:rPr>
          <w:rFonts w:ascii="宋体" w:hAnsi="宋体"/>
          <w:sz w:val="36"/>
          <w:szCs w:val="36"/>
        </w:rPr>
      </w:pPr>
    </w:p>
    <w:p w14:paraId="6205FEAC">
      <w:pPr>
        <w:jc w:val="center"/>
        <w:rPr>
          <w:rFonts w:ascii="宋体" w:hAnsi="宋体"/>
          <w:sz w:val="36"/>
          <w:szCs w:val="36"/>
        </w:rPr>
      </w:pPr>
    </w:p>
    <w:p w14:paraId="1B07EE6B">
      <w:pPr>
        <w:jc w:val="center"/>
        <w:rPr>
          <w:rFonts w:ascii="宋体" w:hAnsi="宋体"/>
          <w:sz w:val="36"/>
          <w:szCs w:val="36"/>
        </w:rPr>
      </w:pPr>
    </w:p>
    <w:p w14:paraId="1A5241DC">
      <w:pPr>
        <w:jc w:val="center"/>
        <w:rPr>
          <w:rFonts w:ascii="宋体" w:hAnsi="宋体"/>
          <w:sz w:val="36"/>
          <w:szCs w:val="36"/>
        </w:rPr>
      </w:pPr>
    </w:p>
    <w:p w14:paraId="60B5573B">
      <w:pPr>
        <w:jc w:val="center"/>
        <w:rPr>
          <w:rFonts w:ascii="宋体" w:hAnsi="宋体"/>
          <w:sz w:val="36"/>
          <w:szCs w:val="36"/>
        </w:rPr>
      </w:pPr>
    </w:p>
    <w:p w14:paraId="27E0691F">
      <w:pPr>
        <w:jc w:val="center"/>
        <w:rPr>
          <w:rFonts w:ascii="宋体" w:hAnsi="宋体"/>
          <w:sz w:val="36"/>
          <w:szCs w:val="36"/>
        </w:rPr>
      </w:pPr>
    </w:p>
    <w:p w14:paraId="672D994F">
      <w:pPr>
        <w:jc w:val="center"/>
        <w:rPr>
          <w:rFonts w:ascii="宋体" w:hAnsi="宋体"/>
          <w:sz w:val="36"/>
          <w:szCs w:val="36"/>
        </w:rPr>
      </w:pPr>
    </w:p>
    <w:p w14:paraId="5B5F5DBD">
      <w:pPr>
        <w:jc w:val="center"/>
        <w:rPr>
          <w:rFonts w:ascii="宋体" w:hAnsi="宋体"/>
          <w:sz w:val="36"/>
          <w:szCs w:val="36"/>
        </w:rPr>
      </w:pPr>
    </w:p>
    <w:p w14:paraId="749C0708">
      <w:pPr>
        <w:jc w:val="center"/>
        <w:rPr>
          <w:rFonts w:ascii="宋体" w:hAnsi="宋体"/>
          <w:sz w:val="36"/>
          <w:szCs w:val="36"/>
        </w:rPr>
      </w:pPr>
    </w:p>
    <w:p w14:paraId="20C6A2E9">
      <w:pPr>
        <w:jc w:val="center"/>
        <w:rPr>
          <w:rFonts w:ascii="宋体" w:hAnsi="宋体"/>
          <w:sz w:val="36"/>
          <w:szCs w:val="36"/>
        </w:rPr>
      </w:pPr>
    </w:p>
    <w:p w14:paraId="7F6498C9">
      <w:pPr>
        <w:jc w:val="center"/>
        <w:rPr>
          <w:rFonts w:ascii="宋体" w:hAnsi="宋体"/>
          <w:sz w:val="36"/>
          <w:szCs w:val="36"/>
        </w:rPr>
      </w:pPr>
    </w:p>
    <w:p w14:paraId="5146568C">
      <w:pPr>
        <w:jc w:val="center"/>
        <w:rPr>
          <w:rFonts w:ascii="宋体" w:hAnsi="宋体"/>
          <w:sz w:val="36"/>
          <w:szCs w:val="36"/>
        </w:rPr>
      </w:pPr>
    </w:p>
    <w:p w14:paraId="127318B2">
      <w:pPr>
        <w:jc w:val="center"/>
        <w:rPr>
          <w:rFonts w:ascii="宋体" w:hAnsi="宋体"/>
          <w:sz w:val="36"/>
          <w:szCs w:val="36"/>
        </w:rPr>
      </w:pPr>
    </w:p>
    <w:p w14:paraId="6487245A">
      <w:pPr>
        <w:jc w:val="center"/>
        <w:rPr>
          <w:rFonts w:ascii="宋体" w:hAnsi="宋体"/>
          <w:sz w:val="36"/>
          <w:szCs w:val="36"/>
        </w:rPr>
      </w:pPr>
    </w:p>
    <w:p w14:paraId="2F8A79AC">
      <w:pPr>
        <w:jc w:val="center"/>
        <w:rPr>
          <w:rFonts w:ascii="宋体" w:hAnsi="宋体"/>
          <w:sz w:val="28"/>
          <w:szCs w:val="28"/>
        </w:rPr>
      </w:pPr>
      <w:r>
        <w:rPr>
          <w:rFonts w:hint="eastAsia" w:ascii="宋体" w:hAnsi="宋体"/>
          <w:sz w:val="36"/>
          <w:szCs w:val="36"/>
        </w:rPr>
        <w:t>申请人基本情况</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9"/>
        <w:gridCol w:w="1126"/>
        <w:gridCol w:w="85"/>
        <w:gridCol w:w="1211"/>
        <w:gridCol w:w="1014"/>
        <w:gridCol w:w="1366"/>
        <w:gridCol w:w="849"/>
        <w:gridCol w:w="517"/>
        <w:gridCol w:w="1366"/>
      </w:tblGrid>
      <w:tr w14:paraId="3C3EA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Align w:val="center"/>
          </w:tcPr>
          <w:p w14:paraId="6E6A8151">
            <w:pPr>
              <w:jc w:val="center"/>
              <w:rPr>
                <w:rFonts w:ascii="宋体" w:hAnsi="宋体"/>
                <w:szCs w:val="21"/>
              </w:rPr>
            </w:pPr>
            <w:r>
              <w:rPr>
                <w:rFonts w:hint="eastAsia" w:ascii="宋体" w:hAnsi="宋体"/>
                <w:szCs w:val="21"/>
              </w:rPr>
              <w:t>申请人名称</w:t>
            </w:r>
          </w:p>
        </w:tc>
        <w:tc>
          <w:tcPr>
            <w:tcW w:w="7534" w:type="dxa"/>
            <w:gridSpan w:val="8"/>
            <w:vAlign w:val="center"/>
          </w:tcPr>
          <w:p w14:paraId="06EFE55C">
            <w:pPr>
              <w:jc w:val="center"/>
              <w:rPr>
                <w:rFonts w:ascii="宋体" w:hAnsi="宋体"/>
                <w:szCs w:val="21"/>
              </w:rPr>
            </w:pPr>
          </w:p>
        </w:tc>
      </w:tr>
      <w:tr w14:paraId="404FF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Align w:val="center"/>
          </w:tcPr>
          <w:p w14:paraId="49BF37F4">
            <w:pPr>
              <w:jc w:val="center"/>
              <w:rPr>
                <w:rFonts w:ascii="宋体" w:hAnsi="宋体"/>
                <w:szCs w:val="21"/>
              </w:rPr>
            </w:pPr>
            <w:r>
              <w:rPr>
                <w:rFonts w:hint="eastAsia" w:ascii="宋体" w:hAnsi="宋体"/>
                <w:szCs w:val="21"/>
              </w:rPr>
              <w:t>注册地址</w:t>
            </w:r>
          </w:p>
        </w:tc>
        <w:tc>
          <w:tcPr>
            <w:tcW w:w="3436" w:type="dxa"/>
            <w:gridSpan w:val="4"/>
            <w:vAlign w:val="center"/>
          </w:tcPr>
          <w:p w14:paraId="47D266D4">
            <w:pPr>
              <w:jc w:val="center"/>
              <w:rPr>
                <w:rFonts w:ascii="宋体" w:hAnsi="宋体"/>
                <w:szCs w:val="21"/>
              </w:rPr>
            </w:pPr>
          </w:p>
        </w:tc>
        <w:tc>
          <w:tcPr>
            <w:tcW w:w="1366" w:type="dxa"/>
            <w:vAlign w:val="center"/>
          </w:tcPr>
          <w:p w14:paraId="6DBFAF06">
            <w:pPr>
              <w:jc w:val="center"/>
              <w:rPr>
                <w:rFonts w:ascii="宋体" w:hAnsi="宋体"/>
                <w:szCs w:val="21"/>
              </w:rPr>
            </w:pPr>
            <w:r>
              <w:rPr>
                <w:rFonts w:hint="eastAsia" w:ascii="宋体" w:hAnsi="宋体"/>
                <w:szCs w:val="21"/>
              </w:rPr>
              <w:t>邮  编</w:t>
            </w:r>
          </w:p>
        </w:tc>
        <w:tc>
          <w:tcPr>
            <w:tcW w:w="2732" w:type="dxa"/>
            <w:gridSpan w:val="3"/>
            <w:vAlign w:val="center"/>
          </w:tcPr>
          <w:p w14:paraId="6DAA7B7A">
            <w:pPr>
              <w:jc w:val="center"/>
              <w:rPr>
                <w:rFonts w:ascii="宋体" w:hAnsi="宋体"/>
                <w:szCs w:val="21"/>
              </w:rPr>
            </w:pPr>
          </w:p>
        </w:tc>
      </w:tr>
      <w:tr w14:paraId="50934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Merge w:val="restart"/>
            <w:vAlign w:val="center"/>
          </w:tcPr>
          <w:p w14:paraId="561FA9B4">
            <w:pPr>
              <w:jc w:val="center"/>
              <w:rPr>
                <w:rFonts w:ascii="宋体" w:hAnsi="宋体"/>
                <w:szCs w:val="21"/>
              </w:rPr>
            </w:pPr>
            <w:r>
              <w:rPr>
                <w:rFonts w:hint="eastAsia" w:ascii="宋体" w:hAnsi="宋体"/>
                <w:szCs w:val="21"/>
              </w:rPr>
              <w:t>联系方式</w:t>
            </w:r>
          </w:p>
        </w:tc>
        <w:tc>
          <w:tcPr>
            <w:tcW w:w="1211" w:type="dxa"/>
            <w:gridSpan w:val="2"/>
            <w:vAlign w:val="center"/>
          </w:tcPr>
          <w:p w14:paraId="17BE39F5">
            <w:pPr>
              <w:jc w:val="center"/>
              <w:rPr>
                <w:rFonts w:ascii="宋体" w:hAnsi="宋体"/>
                <w:szCs w:val="21"/>
              </w:rPr>
            </w:pPr>
            <w:r>
              <w:rPr>
                <w:rFonts w:hint="eastAsia" w:ascii="宋体" w:hAnsi="宋体"/>
                <w:szCs w:val="21"/>
              </w:rPr>
              <w:t>联系人</w:t>
            </w:r>
          </w:p>
        </w:tc>
        <w:tc>
          <w:tcPr>
            <w:tcW w:w="2225" w:type="dxa"/>
            <w:gridSpan w:val="2"/>
            <w:vAlign w:val="center"/>
          </w:tcPr>
          <w:p w14:paraId="77C21E21">
            <w:pPr>
              <w:jc w:val="center"/>
              <w:rPr>
                <w:rFonts w:ascii="宋体" w:hAnsi="宋体"/>
                <w:szCs w:val="21"/>
              </w:rPr>
            </w:pPr>
          </w:p>
        </w:tc>
        <w:tc>
          <w:tcPr>
            <w:tcW w:w="1366" w:type="dxa"/>
            <w:vAlign w:val="center"/>
          </w:tcPr>
          <w:p w14:paraId="6D0AC5AE">
            <w:pPr>
              <w:jc w:val="center"/>
              <w:rPr>
                <w:rFonts w:ascii="宋体" w:hAnsi="宋体"/>
                <w:szCs w:val="21"/>
              </w:rPr>
            </w:pPr>
            <w:r>
              <w:rPr>
                <w:rFonts w:hint="eastAsia" w:ascii="宋体" w:hAnsi="宋体"/>
                <w:szCs w:val="21"/>
              </w:rPr>
              <w:t>电  话</w:t>
            </w:r>
          </w:p>
        </w:tc>
        <w:tc>
          <w:tcPr>
            <w:tcW w:w="2732" w:type="dxa"/>
            <w:gridSpan w:val="3"/>
            <w:vAlign w:val="center"/>
          </w:tcPr>
          <w:p w14:paraId="514EA16A">
            <w:pPr>
              <w:jc w:val="center"/>
              <w:rPr>
                <w:rFonts w:ascii="宋体" w:hAnsi="宋体"/>
                <w:szCs w:val="21"/>
              </w:rPr>
            </w:pPr>
          </w:p>
        </w:tc>
      </w:tr>
      <w:tr w14:paraId="39C21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2139" w:type="dxa"/>
            <w:vMerge w:val="continue"/>
            <w:vAlign w:val="center"/>
          </w:tcPr>
          <w:p w14:paraId="3E0E3A58">
            <w:pPr>
              <w:jc w:val="center"/>
              <w:rPr>
                <w:rFonts w:ascii="宋体" w:hAnsi="宋体"/>
                <w:szCs w:val="21"/>
              </w:rPr>
            </w:pPr>
          </w:p>
        </w:tc>
        <w:tc>
          <w:tcPr>
            <w:tcW w:w="1211" w:type="dxa"/>
            <w:gridSpan w:val="2"/>
            <w:vAlign w:val="center"/>
          </w:tcPr>
          <w:p w14:paraId="42E12373">
            <w:pPr>
              <w:jc w:val="center"/>
              <w:rPr>
                <w:rFonts w:ascii="宋体" w:hAnsi="宋体"/>
                <w:szCs w:val="21"/>
              </w:rPr>
            </w:pPr>
            <w:r>
              <w:rPr>
                <w:rFonts w:hint="eastAsia" w:ascii="宋体" w:hAnsi="宋体"/>
                <w:szCs w:val="21"/>
              </w:rPr>
              <w:t>传  真</w:t>
            </w:r>
          </w:p>
        </w:tc>
        <w:tc>
          <w:tcPr>
            <w:tcW w:w="2225" w:type="dxa"/>
            <w:gridSpan w:val="2"/>
            <w:vAlign w:val="center"/>
          </w:tcPr>
          <w:p w14:paraId="5219D8AE">
            <w:pPr>
              <w:jc w:val="center"/>
              <w:rPr>
                <w:rFonts w:ascii="宋体" w:hAnsi="宋体"/>
                <w:szCs w:val="21"/>
              </w:rPr>
            </w:pPr>
          </w:p>
        </w:tc>
        <w:tc>
          <w:tcPr>
            <w:tcW w:w="1366" w:type="dxa"/>
            <w:vAlign w:val="center"/>
          </w:tcPr>
          <w:p w14:paraId="449A6640">
            <w:pPr>
              <w:jc w:val="center"/>
              <w:rPr>
                <w:rFonts w:ascii="宋体" w:hAnsi="宋体"/>
                <w:szCs w:val="21"/>
              </w:rPr>
            </w:pPr>
            <w:r>
              <w:rPr>
                <w:rFonts w:hint="eastAsia" w:ascii="宋体" w:hAnsi="宋体"/>
                <w:szCs w:val="21"/>
              </w:rPr>
              <w:t>网  址</w:t>
            </w:r>
          </w:p>
        </w:tc>
        <w:tc>
          <w:tcPr>
            <w:tcW w:w="2732" w:type="dxa"/>
            <w:gridSpan w:val="3"/>
            <w:vAlign w:val="center"/>
          </w:tcPr>
          <w:p w14:paraId="72517353">
            <w:pPr>
              <w:jc w:val="center"/>
              <w:rPr>
                <w:rFonts w:ascii="宋体" w:hAnsi="宋体"/>
                <w:szCs w:val="21"/>
              </w:rPr>
            </w:pPr>
          </w:p>
        </w:tc>
      </w:tr>
      <w:tr w14:paraId="3301A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Align w:val="center"/>
          </w:tcPr>
          <w:p w14:paraId="669F602C">
            <w:pPr>
              <w:jc w:val="center"/>
              <w:rPr>
                <w:rFonts w:ascii="宋体" w:hAnsi="宋体"/>
                <w:szCs w:val="21"/>
              </w:rPr>
            </w:pPr>
            <w:r>
              <w:rPr>
                <w:rFonts w:hint="eastAsia" w:ascii="宋体" w:hAnsi="宋体"/>
                <w:szCs w:val="21"/>
              </w:rPr>
              <w:t>组织结构</w:t>
            </w:r>
          </w:p>
        </w:tc>
        <w:tc>
          <w:tcPr>
            <w:tcW w:w="7534" w:type="dxa"/>
            <w:gridSpan w:val="8"/>
            <w:vAlign w:val="center"/>
          </w:tcPr>
          <w:p w14:paraId="0B395F17">
            <w:pPr>
              <w:jc w:val="center"/>
              <w:rPr>
                <w:rFonts w:ascii="宋体" w:hAnsi="宋体"/>
                <w:szCs w:val="21"/>
              </w:rPr>
            </w:pPr>
          </w:p>
        </w:tc>
      </w:tr>
      <w:tr w14:paraId="59F9F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Align w:val="center"/>
          </w:tcPr>
          <w:p w14:paraId="615AC930">
            <w:pPr>
              <w:jc w:val="center"/>
              <w:rPr>
                <w:rFonts w:ascii="宋体" w:hAnsi="宋体"/>
                <w:szCs w:val="21"/>
              </w:rPr>
            </w:pPr>
            <w:r>
              <w:rPr>
                <w:rFonts w:hint="eastAsia" w:ascii="宋体" w:hAnsi="宋体"/>
                <w:szCs w:val="21"/>
              </w:rPr>
              <w:t>法定代表人</w:t>
            </w:r>
          </w:p>
        </w:tc>
        <w:tc>
          <w:tcPr>
            <w:tcW w:w="1126" w:type="dxa"/>
            <w:vAlign w:val="center"/>
          </w:tcPr>
          <w:p w14:paraId="72E5209C">
            <w:pPr>
              <w:jc w:val="center"/>
              <w:rPr>
                <w:rFonts w:ascii="宋体" w:hAnsi="宋体"/>
                <w:szCs w:val="21"/>
              </w:rPr>
            </w:pPr>
            <w:r>
              <w:rPr>
                <w:rFonts w:hint="eastAsia" w:ascii="宋体" w:hAnsi="宋体"/>
                <w:szCs w:val="21"/>
              </w:rPr>
              <w:t>姓  名</w:t>
            </w:r>
          </w:p>
        </w:tc>
        <w:tc>
          <w:tcPr>
            <w:tcW w:w="1296" w:type="dxa"/>
            <w:gridSpan w:val="2"/>
            <w:vAlign w:val="center"/>
          </w:tcPr>
          <w:p w14:paraId="5B20E945">
            <w:pPr>
              <w:jc w:val="center"/>
              <w:rPr>
                <w:rFonts w:ascii="宋体" w:hAnsi="宋体"/>
                <w:szCs w:val="21"/>
              </w:rPr>
            </w:pPr>
          </w:p>
        </w:tc>
        <w:tc>
          <w:tcPr>
            <w:tcW w:w="1014" w:type="dxa"/>
            <w:vAlign w:val="center"/>
          </w:tcPr>
          <w:p w14:paraId="18A1EBCA">
            <w:pPr>
              <w:jc w:val="center"/>
              <w:rPr>
                <w:rFonts w:ascii="宋体" w:hAnsi="宋体"/>
                <w:szCs w:val="21"/>
              </w:rPr>
            </w:pPr>
            <w:r>
              <w:rPr>
                <w:rFonts w:hint="eastAsia" w:ascii="宋体" w:hAnsi="宋体"/>
                <w:szCs w:val="21"/>
              </w:rPr>
              <w:t>职  称</w:t>
            </w:r>
          </w:p>
        </w:tc>
        <w:tc>
          <w:tcPr>
            <w:tcW w:w="1366" w:type="dxa"/>
            <w:vAlign w:val="center"/>
          </w:tcPr>
          <w:p w14:paraId="16DF5131">
            <w:pPr>
              <w:jc w:val="center"/>
              <w:rPr>
                <w:rFonts w:ascii="宋体" w:hAnsi="宋体"/>
                <w:szCs w:val="21"/>
              </w:rPr>
            </w:pPr>
          </w:p>
        </w:tc>
        <w:tc>
          <w:tcPr>
            <w:tcW w:w="1366" w:type="dxa"/>
            <w:gridSpan w:val="2"/>
            <w:vAlign w:val="center"/>
          </w:tcPr>
          <w:p w14:paraId="103A901B">
            <w:pPr>
              <w:jc w:val="center"/>
              <w:rPr>
                <w:rFonts w:ascii="宋体" w:hAnsi="宋体"/>
                <w:szCs w:val="21"/>
              </w:rPr>
            </w:pPr>
            <w:r>
              <w:rPr>
                <w:rFonts w:hint="eastAsia" w:ascii="宋体" w:hAnsi="宋体"/>
                <w:szCs w:val="21"/>
              </w:rPr>
              <w:t>电  话</w:t>
            </w:r>
          </w:p>
        </w:tc>
        <w:tc>
          <w:tcPr>
            <w:tcW w:w="1366" w:type="dxa"/>
            <w:vAlign w:val="center"/>
          </w:tcPr>
          <w:p w14:paraId="31B72457">
            <w:pPr>
              <w:jc w:val="left"/>
              <w:rPr>
                <w:rFonts w:ascii="宋体" w:hAnsi="宋体"/>
                <w:szCs w:val="21"/>
              </w:rPr>
            </w:pPr>
          </w:p>
        </w:tc>
      </w:tr>
      <w:tr w14:paraId="61BD7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Align w:val="center"/>
          </w:tcPr>
          <w:p w14:paraId="6499AD77">
            <w:pPr>
              <w:jc w:val="center"/>
              <w:rPr>
                <w:rFonts w:ascii="宋体" w:hAnsi="宋体"/>
                <w:szCs w:val="21"/>
              </w:rPr>
            </w:pPr>
            <w:r>
              <w:rPr>
                <w:rFonts w:hint="eastAsia" w:ascii="宋体" w:hAnsi="宋体"/>
                <w:szCs w:val="21"/>
              </w:rPr>
              <w:t>技术负责人</w:t>
            </w:r>
          </w:p>
        </w:tc>
        <w:tc>
          <w:tcPr>
            <w:tcW w:w="1126" w:type="dxa"/>
            <w:vAlign w:val="center"/>
          </w:tcPr>
          <w:p w14:paraId="76A09900">
            <w:pPr>
              <w:jc w:val="center"/>
              <w:rPr>
                <w:rFonts w:ascii="宋体" w:hAnsi="宋体"/>
                <w:szCs w:val="21"/>
              </w:rPr>
            </w:pPr>
            <w:r>
              <w:rPr>
                <w:rFonts w:hint="eastAsia" w:ascii="宋体" w:hAnsi="宋体"/>
                <w:szCs w:val="21"/>
              </w:rPr>
              <w:t>姓  名</w:t>
            </w:r>
          </w:p>
        </w:tc>
        <w:tc>
          <w:tcPr>
            <w:tcW w:w="1296" w:type="dxa"/>
            <w:gridSpan w:val="2"/>
            <w:vAlign w:val="center"/>
          </w:tcPr>
          <w:p w14:paraId="0A1A8EFD">
            <w:pPr>
              <w:jc w:val="center"/>
              <w:rPr>
                <w:rFonts w:ascii="宋体" w:hAnsi="宋体"/>
                <w:szCs w:val="21"/>
              </w:rPr>
            </w:pPr>
          </w:p>
        </w:tc>
        <w:tc>
          <w:tcPr>
            <w:tcW w:w="1014" w:type="dxa"/>
            <w:vAlign w:val="center"/>
          </w:tcPr>
          <w:p w14:paraId="37EC284C">
            <w:pPr>
              <w:jc w:val="center"/>
              <w:rPr>
                <w:rFonts w:ascii="宋体" w:hAnsi="宋体"/>
                <w:szCs w:val="21"/>
              </w:rPr>
            </w:pPr>
            <w:r>
              <w:rPr>
                <w:rFonts w:hint="eastAsia" w:ascii="宋体" w:hAnsi="宋体"/>
                <w:szCs w:val="21"/>
              </w:rPr>
              <w:t>职  称</w:t>
            </w:r>
          </w:p>
        </w:tc>
        <w:tc>
          <w:tcPr>
            <w:tcW w:w="1366" w:type="dxa"/>
            <w:vAlign w:val="center"/>
          </w:tcPr>
          <w:p w14:paraId="79D2C1C6">
            <w:pPr>
              <w:jc w:val="center"/>
              <w:rPr>
                <w:rFonts w:ascii="宋体" w:hAnsi="宋体"/>
                <w:szCs w:val="21"/>
              </w:rPr>
            </w:pPr>
          </w:p>
        </w:tc>
        <w:tc>
          <w:tcPr>
            <w:tcW w:w="1366" w:type="dxa"/>
            <w:gridSpan w:val="2"/>
            <w:vAlign w:val="center"/>
          </w:tcPr>
          <w:p w14:paraId="2560C4CA">
            <w:pPr>
              <w:jc w:val="center"/>
              <w:rPr>
                <w:rFonts w:ascii="宋体" w:hAnsi="宋体"/>
                <w:szCs w:val="21"/>
              </w:rPr>
            </w:pPr>
            <w:r>
              <w:rPr>
                <w:rFonts w:hint="eastAsia" w:ascii="宋体" w:hAnsi="宋体"/>
                <w:szCs w:val="21"/>
              </w:rPr>
              <w:t>电  话</w:t>
            </w:r>
          </w:p>
        </w:tc>
        <w:tc>
          <w:tcPr>
            <w:tcW w:w="1366" w:type="dxa"/>
            <w:vAlign w:val="center"/>
          </w:tcPr>
          <w:p w14:paraId="0C6A369A">
            <w:pPr>
              <w:jc w:val="left"/>
              <w:rPr>
                <w:rFonts w:ascii="宋体" w:hAnsi="宋体"/>
                <w:szCs w:val="21"/>
              </w:rPr>
            </w:pPr>
          </w:p>
        </w:tc>
      </w:tr>
      <w:tr w14:paraId="720F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Align w:val="center"/>
          </w:tcPr>
          <w:p w14:paraId="3C35F765">
            <w:pPr>
              <w:jc w:val="center"/>
              <w:rPr>
                <w:rFonts w:ascii="宋体" w:hAnsi="宋体"/>
                <w:szCs w:val="21"/>
              </w:rPr>
            </w:pPr>
            <w:r>
              <w:rPr>
                <w:rFonts w:hint="eastAsia" w:ascii="宋体" w:hAnsi="宋体"/>
                <w:szCs w:val="21"/>
              </w:rPr>
              <w:t>成立时间</w:t>
            </w:r>
          </w:p>
        </w:tc>
        <w:tc>
          <w:tcPr>
            <w:tcW w:w="2422" w:type="dxa"/>
            <w:gridSpan w:val="3"/>
            <w:vAlign w:val="center"/>
          </w:tcPr>
          <w:p w14:paraId="7D60B641">
            <w:pPr>
              <w:jc w:val="center"/>
              <w:rPr>
                <w:rFonts w:ascii="宋体" w:hAnsi="宋体"/>
                <w:szCs w:val="21"/>
              </w:rPr>
            </w:pPr>
          </w:p>
        </w:tc>
        <w:tc>
          <w:tcPr>
            <w:tcW w:w="5112" w:type="dxa"/>
            <w:gridSpan w:val="5"/>
            <w:vAlign w:val="center"/>
          </w:tcPr>
          <w:p w14:paraId="023CD048">
            <w:pPr>
              <w:rPr>
                <w:rFonts w:ascii="宋体" w:hAnsi="宋体"/>
                <w:szCs w:val="21"/>
              </w:rPr>
            </w:pPr>
            <w:r>
              <w:rPr>
                <w:rFonts w:hint="eastAsia" w:ascii="宋体" w:hAnsi="宋体"/>
                <w:szCs w:val="21"/>
              </w:rPr>
              <w:t>员工总人数：</w:t>
            </w:r>
          </w:p>
        </w:tc>
      </w:tr>
      <w:tr w14:paraId="7F706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Align w:val="center"/>
          </w:tcPr>
          <w:p w14:paraId="457C9DAF">
            <w:pPr>
              <w:jc w:val="center"/>
              <w:rPr>
                <w:rFonts w:ascii="宋体" w:hAnsi="宋体"/>
                <w:szCs w:val="21"/>
              </w:rPr>
            </w:pPr>
            <w:r>
              <w:rPr>
                <w:rFonts w:hint="eastAsia" w:ascii="宋体" w:hAnsi="宋体"/>
                <w:szCs w:val="21"/>
              </w:rPr>
              <w:t>企业资质等级（如有）</w:t>
            </w:r>
          </w:p>
        </w:tc>
        <w:tc>
          <w:tcPr>
            <w:tcW w:w="2422" w:type="dxa"/>
            <w:gridSpan w:val="3"/>
            <w:vAlign w:val="center"/>
          </w:tcPr>
          <w:p w14:paraId="58BA106C">
            <w:pPr>
              <w:jc w:val="center"/>
              <w:rPr>
                <w:rFonts w:ascii="宋体" w:hAnsi="宋体"/>
                <w:szCs w:val="21"/>
              </w:rPr>
            </w:pPr>
          </w:p>
        </w:tc>
        <w:tc>
          <w:tcPr>
            <w:tcW w:w="1014" w:type="dxa"/>
            <w:vMerge w:val="restart"/>
            <w:textDirection w:val="tbRlV"/>
            <w:vAlign w:val="center"/>
          </w:tcPr>
          <w:p w14:paraId="7514F4DE">
            <w:pPr>
              <w:ind w:left="113" w:right="113"/>
              <w:jc w:val="center"/>
              <w:rPr>
                <w:rFonts w:ascii="宋体" w:hAnsi="宋体"/>
                <w:szCs w:val="21"/>
              </w:rPr>
            </w:pPr>
            <w:r>
              <w:rPr>
                <w:rFonts w:hint="eastAsia" w:ascii="宋体" w:hAnsi="宋体"/>
                <w:szCs w:val="21"/>
              </w:rPr>
              <w:t>其 中</w:t>
            </w:r>
          </w:p>
        </w:tc>
        <w:tc>
          <w:tcPr>
            <w:tcW w:w="2215" w:type="dxa"/>
            <w:gridSpan w:val="2"/>
            <w:vAlign w:val="center"/>
          </w:tcPr>
          <w:p w14:paraId="4002EF98">
            <w:pPr>
              <w:jc w:val="center"/>
              <w:rPr>
                <w:rFonts w:ascii="宋体" w:hAnsi="宋体"/>
                <w:szCs w:val="21"/>
              </w:rPr>
            </w:pPr>
            <w:r>
              <w:rPr>
                <w:rFonts w:hint="eastAsia" w:ascii="宋体" w:hAnsi="宋体"/>
                <w:szCs w:val="21"/>
              </w:rPr>
              <w:t>项目负责人</w:t>
            </w:r>
          </w:p>
        </w:tc>
        <w:tc>
          <w:tcPr>
            <w:tcW w:w="1883" w:type="dxa"/>
            <w:gridSpan w:val="2"/>
            <w:vAlign w:val="center"/>
          </w:tcPr>
          <w:p w14:paraId="4BAE794D">
            <w:pPr>
              <w:jc w:val="left"/>
              <w:rPr>
                <w:rFonts w:ascii="宋体" w:hAnsi="宋体"/>
                <w:szCs w:val="21"/>
              </w:rPr>
            </w:pPr>
          </w:p>
        </w:tc>
      </w:tr>
      <w:tr w14:paraId="607A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Align w:val="center"/>
          </w:tcPr>
          <w:p w14:paraId="16EEB400">
            <w:pPr>
              <w:jc w:val="center"/>
              <w:rPr>
                <w:rFonts w:ascii="宋体" w:hAnsi="宋体"/>
                <w:szCs w:val="21"/>
              </w:rPr>
            </w:pPr>
            <w:r>
              <w:rPr>
                <w:rFonts w:hint="eastAsia" w:ascii="宋体" w:hAnsi="宋体"/>
                <w:szCs w:val="21"/>
              </w:rPr>
              <w:t>营业执照号</w:t>
            </w:r>
          </w:p>
        </w:tc>
        <w:tc>
          <w:tcPr>
            <w:tcW w:w="2422" w:type="dxa"/>
            <w:gridSpan w:val="3"/>
            <w:vAlign w:val="center"/>
          </w:tcPr>
          <w:p w14:paraId="5E7C2629">
            <w:pPr>
              <w:jc w:val="center"/>
              <w:rPr>
                <w:rFonts w:ascii="宋体" w:hAnsi="宋体"/>
                <w:szCs w:val="21"/>
              </w:rPr>
            </w:pPr>
          </w:p>
        </w:tc>
        <w:tc>
          <w:tcPr>
            <w:tcW w:w="1014" w:type="dxa"/>
            <w:vMerge w:val="continue"/>
            <w:vAlign w:val="center"/>
          </w:tcPr>
          <w:p w14:paraId="5BD0DBA5">
            <w:pPr>
              <w:jc w:val="center"/>
              <w:rPr>
                <w:rFonts w:ascii="宋体" w:hAnsi="宋体"/>
                <w:szCs w:val="21"/>
              </w:rPr>
            </w:pPr>
          </w:p>
        </w:tc>
        <w:tc>
          <w:tcPr>
            <w:tcW w:w="2215" w:type="dxa"/>
            <w:gridSpan w:val="2"/>
            <w:vAlign w:val="center"/>
          </w:tcPr>
          <w:p w14:paraId="7687203B">
            <w:pPr>
              <w:jc w:val="center"/>
              <w:rPr>
                <w:rFonts w:ascii="宋体" w:hAnsi="宋体"/>
                <w:szCs w:val="21"/>
              </w:rPr>
            </w:pPr>
            <w:r>
              <w:rPr>
                <w:rFonts w:hint="eastAsia" w:ascii="宋体" w:hAnsi="宋体"/>
                <w:szCs w:val="21"/>
              </w:rPr>
              <w:t>高级职称人员</w:t>
            </w:r>
          </w:p>
        </w:tc>
        <w:tc>
          <w:tcPr>
            <w:tcW w:w="1883" w:type="dxa"/>
            <w:gridSpan w:val="2"/>
            <w:vAlign w:val="center"/>
          </w:tcPr>
          <w:p w14:paraId="38EC68BA">
            <w:pPr>
              <w:jc w:val="left"/>
              <w:rPr>
                <w:rFonts w:ascii="宋体" w:hAnsi="宋体"/>
                <w:szCs w:val="21"/>
              </w:rPr>
            </w:pPr>
          </w:p>
        </w:tc>
      </w:tr>
      <w:tr w14:paraId="1191D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Align w:val="center"/>
          </w:tcPr>
          <w:p w14:paraId="54B2829D">
            <w:pPr>
              <w:jc w:val="center"/>
              <w:rPr>
                <w:rFonts w:ascii="宋体" w:hAnsi="宋体"/>
                <w:szCs w:val="21"/>
              </w:rPr>
            </w:pPr>
            <w:r>
              <w:rPr>
                <w:rFonts w:hint="eastAsia" w:ascii="宋体" w:hAnsi="宋体"/>
                <w:szCs w:val="21"/>
              </w:rPr>
              <w:t>注册资金</w:t>
            </w:r>
          </w:p>
        </w:tc>
        <w:tc>
          <w:tcPr>
            <w:tcW w:w="2422" w:type="dxa"/>
            <w:gridSpan w:val="3"/>
            <w:vAlign w:val="center"/>
          </w:tcPr>
          <w:p w14:paraId="5F49916E">
            <w:pPr>
              <w:jc w:val="center"/>
              <w:rPr>
                <w:rFonts w:ascii="宋体" w:hAnsi="宋体"/>
                <w:szCs w:val="21"/>
              </w:rPr>
            </w:pPr>
          </w:p>
        </w:tc>
        <w:tc>
          <w:tcPr>
            <w:tcW w:w="1014" w:type="dxa"/>
            <w:vMerge w:val="continue"/>
            <w:vAlign w:val="center"/>
          </w:tcPr>
          <w:p w14:paraId="245D2558">
            <w:pPr>
              <w:jc w:val="center"/>
              <w:rPr>
                <w:rFonts w:ascii="宋体" w:hAnsi="宋体"/>
                <w:szCs w:val="21"/>
              </w:rPr>
            </w:pPr>
          </w:p>
        </w:tc>
        <w:tc>
          <w:tcPr>
            <w:tcW w:w="2215" w:type="dxa"/>
            <w:gridSpan w:val="2"/>
            <w:vAlign w:val="center"/>
          </w:tcPr>
          <w:p w14:paraId="246E6887">
            <w:pPr>
              <w:jc w:val="center"/>
              <w:rPr>
                <w:rFonts w:ascii="宋体" w:hAnsi="宋体"/>
                <w:szCs w:val="21"/>
              </w:rPr>
            </w:pPr>
            <w:r>
              <w:rPr>
                <w:rFonts w:hint="eastAsia" w:ascii="宋体" w:hAnsi="宋体"/>
                <w:szCs w:val="21"/>
              </w:rPr>
              <w:t>中级职称人员</w:t>
            </w:r>
          </w:p>
        </w:tc>
        <w:tc>
          <w:tcPr>
            <w:tcW w:w="1883" w:type="dxa"/>
            <w:gridSpan w:val="2"/>
            <w:vAlign w:val="center"/>
          </w:tcPr>
          <w:p w14:paraId="3AACC86D">
            <w:pPr>
              <w:jc w:val="left"/>
              <w:rPr>
                <w:rFonts w:ascii="宋体" w:hAnsi="宋体"/>
                <w:szCs w:val="21"/>
              </w:rPr>
            </w:pPr>
          </w:p>
        </w:tc>
      </w:tr>
      <w:tr w14:paraId="1990A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Align w:val="center"/>
          </w:tcPr>
          <w:p w14:paraId="2427E82C">
            <w:pPr>
              <w:jc w:val="center"/>
              <w:rPr>
                <w:rFonts w:ascii="宋体" w:hAnsi="宋体"/>
                <w:szCs w:val="21"/>
              </w:rPr>
            </w:pPr>
            <w:r>
              <w:rPr>
                <w:rFonts w:hint="eastAsia" w:ascii="宋体" w:hAnsi="宋体"/>
                <w:szCs w:val="21"/>
              </w:rPr>
              <w:t>开户银行</w:t>
            </w:r>
          </w:p>
        </w:tc>
        <w:tc>
          <w:tcPr>
            <w:tcW w:w="2422" w:type="dxa"/>
            <w:gridSpan w:val="3"/>
            <w:vAlign w:val="center"/>
          </w:tcPr>
          <w:p w14:paraId="2A0294A9">
            <w:pPr>
              <w:jc w:val="center"/>
              <w:rPr>
                <w:rFonts w:ascii="宋体" w:hAnsi="宋体"/>
                <w:szCs w:val="21"/>
              </w:rPr>
            </w:pPr>
          </w:p>
        </w:tc>
        <w:tc>
          <w:tcPr>
            <w:tcW w:w="1014" w:type="dxa"/>
            <w:vMerge w:val="continue"/>
            <w:vAlign w:val="center"/>
          </w:tcPr>
          <w:p w14:paraId="400DE578">
            <w:pPr>
              <w:jc w:val="center"/>
              <w:rPr>
                <w:rFonts w:ascii="宋体" w:hAnsi="宋体"/>
                <w:szCs w:val="21"/>
              </w:rPr>
            </w:pPr>
          </w:p>
        </w:tc>
        <w:tc>
          <w:tcPr>
            <w:tcW w:w="2215" w:type="dxa"/>
            <w:gridSpan w:val="2"/>
            <w:vAlign w:val="center"/>
          </w:tcPr>
          <w:p w14:paraId="702910C5">
            <w:pPr>
              <w:jc w:val="center"/>
              <w:rPr>
                <w:rFonts w:ascii="宋体" w:hAnsi="宋体"/>
                <w:szCs w:val="21"/>
              </w:rPr>
            </w:pPr>
            <w:r>
              <w:rPr>
                <w:rFonts w:hint="eastAsia" w:ascii="宋体" w:hAnsi="宋体"/>
                <w:szCs w:val="21"/>
              </w:rPr>
              <w:t>初级职称人员</w:t>
            </w:r>
          </w:p>
        </w:tc>
        <w:tc>
          <w:tcPr>
            <w:tcW w:w="1883" w:type="dxa"/>
            <w:gridSpan w:val="2"/>
            <w:vAlign w:val="center"/>
          </w:tcPr>
          <w:p w14:paraId="72755025">
            <w:pPr>
              <w:jc w:val="left"/>
              <w:rPr>
                <w:rFonts w:ascii="宋体" w:hAnsi="宋体"/>
                <w:szCs w:val="21"/>
              </w:rPr>
            </w:pPr>
          </w:p>
        </w:tc>
      </w:tr>
      <w:tr w14:paraId="2D569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139" w:type="dxa"/>
            <w:vAlign w:val="center"/>
          </w:tcPr>
          <w:p w14:paraId="5CA14FD3">
            <w:pPr>
              <w:jc w:val="center"/>
              <w:rPr>
                <w:rFonts w:ascii="宋体" w:hAnsi="宋体"/>
                <w:szCs w:val="21"/>
              </w:rPr>
            </w:pPr>
            <w:r>
              <w:rPr>
                <w:rFonts w:hint="eastAsia" w:ascii="宋体" w:hAnsi="宋体"/>
                <w:szCs w:val="21"/>
              </w:rPr>
              <w:t>账    号</w:t>
            </w:r>
          </w:p>
        </w:tc>
        <w:tc>
          <w:tcPr>
            <w:tcW w:w="2422" w:type="dxa"/>
            <w:gridSpan w:val="3"/>
            <w:vAlign w:val="center"/>
          </w:tcPr>
          <w:p w14:paraId="3380311D">
            <w:pPr>
              <w:jc w:val="center"/>
              <w:rPr>
                <w:rFonts w:ascii="宋体" w:hAnsi="宋体"/>
                <w:szCs w:val="21"/>
              </w:rPr>
            </w:pPr>
          </w:p>
        </w:tc>
        <w:tc>
          <w:tcPr>
            <w:tcW w:w="1014" w:type="dxa"/>
            <w:vMerge w:val="continue"/>
            <w:vAlign w:val="center"/>
          </w:tcPr>
          <w:p w14:paraId="57E8E8BF">
            <w:pPr>
              <w:jc w:val="center"/>
              <w:rPr>
                <w:rFonts w:ascii="宋体" w:hAnsi="宋体"/>
                <w:szCs w:val="21"/>
              </w:rPr>
            </w:pPr>
          </w:p>
        </w:tc>
        <w:tc>
          <w:tcPr>
            <w:tcW w:w="2215" w:type="dxa"/>
            <w:gridSpan w:val="2"/>
            <w:vAlign w:val="center"/>
          </w:tcPr>
          <w:p w14:paraId="1D35BE9B">
            <w:pPr>
              <w:jc w:val="center"/>
              <w:rPr>
                <w:rFonts w:ascii="宋体" w:hAnsi="宋体"/>
                <w:szCs w:val="21"/>
              </w:rPr>
            </w:pPr>
            <w:r>
              <w:rPr>
                <w:rFonts w:hint="eastAsia" w:ascii="宋体" w:hAnsi="宋体"/>
                <w:szCs w:val="21"/>
              </w:rPr>
              <w:t>技术工人</w:t>
            </w:r>
          </w:p>
        </w:tc>
        <w:tc>
          <w:tcPr>
            <w:tcW w:w="1883" w:type="dxa"/>
            <w:gridSpan w:val="2"/>
            <w:vAlign w:val="center"/>
          </w:tcPr>
          <w:p w14:paraId="31DE0445">
            <w:pPr>
              <w:jc w:val="left"/>
              <w:rPr>
                <w:rFonts w:ascii="宋体" w:hAnsi="宋体"/>
                <w:szCs w:val="21"/>
              </w:rPr>
            </w:pPr>
          </w:p>
        </w:tc>
      </w:tr>
      <w:tr w14:paraId="0B774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5" w:hRule="atLeast"/>
        </w:trPr>
        <w:tc>
          <w:tcPr>
            <w:tcW w:w="2139" w:type="dxa"/>
            <w:vAlign w:val="center"/>
          </w:tcPr>
          <w:p w14:paraId="6E8E5AA2">
            <w:pPr>
              <w:jc w:val="center"/>
              <w:rPr>
                <w:rFonts w:ascii="宋体" w:hAnsi="宋体"/>
                <w:szCs w:val="21"/>
              </w:rPr>
            </w:pPr>
            <w:r>
              <w:rPr>
                <w:rFonts w:hint="eastAsia" w:ascii="宋体" w:hAnsi="宋体"/>
                <w:szCs w:val="21"/>
              </w:rPr>
              <w:t>经营范围</w:t>
            </w:r>
          </w:p>
        </w:tc>
        <w:tc>
          <w:tcPr>
            <w:tcW w:w="7534" w:type="dxa"/>
            <w:gridSpan w:val="8"/>
            <w:vAlign w:val="center"/>
          </w:tcPr>
          <w:p w14:paraId="6637F322">
            <w:pPr>
              <w:jc w:val="left"/>
              <w:rPr>
                <w:rFonts w:ascii="宋体" w:hAnsi="宋体"/>
                <w:szCs w:val="21"/>
              </w:rPr>
            </w:pPr>
          </w:p>
        </w:tc>
      </w:tr>
      <w:tr w14:paraId="0658C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trPr>
        <w:tc>
          <w:tcPr>
            <w:tcW w:w="2139" w:type="dxa"/>
            <w:vAlign w:val="center"/>
          </w:tcPr>
          <w:p w14:paraId="7A5DC180">
            <w:pPr>
              <w:jc w:val="center"/>
              <w:rPr>
                <w:rFonts w:ascii="宋体" w:hAnsi="宋体"/>
                <w:szCs w:val="21"/>
              </w:rPr>
            </w:pPr>
            <w:r>
              <w:rPr>
                <w:rFonts w:hint="eastAsia" w:ascii="宋体" w:hAnsi="宋体"/>
                <w:szCs w:val="21"/>
              </w:rPr>
              <w:t>备注</w:t>
            </w:r>
          </w:p>
        </w:tc>
        <w:tc>
          <w:tcPr>
            <w:tcW w:w="7534" w:type="dxa"/>
            <w:gridSpan w:val="8"/>
            <w:vAlign w:val="center"/>
          </w:tcPr>
          <w:p w14:paraId="79D548DA">
            <w:pPr>
              <w:jc w:val="left"/>
              <w:rPr>
                <w:rFonts w:ascii="宋体" w:hAnsi="宋体"/>
                <w:szCs w:val="21"/>
              </w:rPr>
            </w:pPr>
          </w:p>
        </w:tc>
      </w:tr>
    </w:tbl>
    <w:p w14:paraId="180C094E">
      <w:pPr>
        <w:pStyle w:val="125"/>
        <w:spacing w:line="360" w:lineRule="auto"/>
        <w:rPr>
          <w:rFonts w:hAnsi="宋体" w:cs="宋体"/>
          <w:kern w:val="0"/>
          <w:sz w:val="21"/>
          <w:szCs w:val="21"/>
        </w:rPr>
      </w:pPr>
    </w:p>
    <w:p w14:paraId="20CDB82D">
      <w:pPr>
        <w:pStyle w:val="4"/>
        <w:jc w:val="center"/>
        <w:rPr>
          <w:rFonts w:ascii="宋体" w:hAnsi="宋体" w:eastAsia="宋体" w:cs="宋体"/>
          <w:lang w:val="zh-CN"/>
        </w:rPr>
      </w:pPr>
      <w:r>
        <w:rPr>
          <w:kern w:val="0"/>
          <w:sz w:val="21"/>
          <w:szCs w:val="21"/>
        </w:rPr>
        <w:br w:type="page"/>
      </w:r>
      <w:bookmarkStart w:id="528" w:name="_Toc24901"/>
      <w:bookmarkStart w:id="529" w:name="_Toc8848"/>
      <w:bookmarkStart w:id="530" w:name="_Toc57041963"/>
      <w:bookmarkStart w:id="531" w:name="_Toc25838"/>
      <w:bookmarkStart w:id="532" w:name="_Toc15032"/>
      <w:bookmarkStart w:id="533" w:name="_Toc5815"/>
      <w:bookmarkStart w:id="534" w:name="_Toc30629"/>
      <w:bookmarkStart w:id="535" w:name="_Toc31682"/>
      <w:bookmarkStart w:id="536" w:name="_Toc16659"/>
      <w:bookmarkStart w:id="537" w:name="_Toc507744747"/>
      <w:bookmarkStart w:id="538" w:name="_Toc11297"/>
      <w:r>
        <w:rPr>
          <w:rFonts w:hint="eastAsia" w:ascii="宋体" w:hAnsi="宋体" w:eastAsia="宋体" w:cs="宋体"/>
          <w:lang w:val="zh-CN"/>
        </w:rPr>
        <w:t>承诺书</w:t>
      </w:r>
      <w:bookmarkEnd w:id="528"/>
      <w:bookmarkEnd w:id="529"/>
      <w:r>
        <w:rPr>
          <w:rFonts w:hint="eastAsia" w:ascii="宋体" w:hAnsi="宋体" w:eastAsia="宋体" w:cs="宋体"/>
          <w:lang w:val="zh-CN"/>
        </w:rPr>
        <w:t>（格式）</w:t>
      </w:r>
      <w:bookmarkEnd w:id="530"/>
      <w:bookmarkEnd w:id="531"/>
      <w:bookmarkEnd w:id="532"/>
      <w:bookmarkEnd w:id="533"/>
      <w:bookmarkEnd w:id="534"/>
      <w:bookmarkEnd w:id="535"/>
      <w:bookmarkEnd w:id="536"/>
      <w:bookmarkEnd w:id="537"/>
      <w:bookmarkEnd w:id="538"/>
    </w:p>
    <w:p w14:paraId="0F1F4ABA">
      <w:pPr>
        <w:widowControl/>
        <w:spacing w:line="600" w:lineRule="exact"/>
        <w:ind w:firstLine="480"/>
        <w:jc w:val="left"/>
        <w:rPr>
          <w:rFonts w:ascii="Arial" w:hAnsi="Arial" w:cs="Arial"/>
          <w:sz w:val="24"/>
        </w:rPr>
      </w:pPr>
      <w:r>
        <w:rPr>
          <w:rFonts w:hint="eastAsia" w:ascii="Arial" w:hAnsi="Arial" w:cs="Arial"/>
          <w:sz w:val="24"/>
        </w:rPr>
        <w:t>致：</w:t>
      </w:r>
      <w:r>
        <w:rPr>
          <w:rFonts w:hint="eastAsia" w:ascii="Arial" w:hAnsi="Arial" w:cs="Arial"/>
          <w:sz w:val="24"/>
          <w:lang w:val="en-US" w:eastAsia="zh-CN"/>
        </w:rPr>
        <w:t>XXXXXX</w:t>
      </w:r>
      <w:r>
        <w:rPr>
          <w:rFonts w:hint="eastAsia" w:ascii="Arial" w:hAnsi="Arial" w:cs="Arial"/>
          <w:sz w:val="24"/>
          <w:u w:val="single"/>
        </w:rPr>
        <w:t>有限公司</w:t>
      </w:r>
      <w:r>
        <w:rPr>
          <w:rFonts w:ascii="Arial" w:hAnsi="Arial" w:cs="Arial"/>
          <w:sz w:val="24"/>
          <w:u w:val="single"/>
        </w:rPr>
        <w:t>  </w:t>
      </w:r>
    </w:p>
    <w:p w14:paraId="3E8273C6">
      <w:pPr>
        <w:widowControl/>
        <w:spacing w:line="600" w:lineRule="exact"/>
        <w:ind w:firstLine="482"/>
        <w:jc w:val="left"/>
        <w:rPr>
          <w:rFonts w:ascii="Arial" w:hAnsi="Arial" w:cs="Arial"/>
          <w:sz w:val="24"/>
        </w:rPr>
      </w:pPr>
      <w:r>
        <w:rPr>
          <w:rFonts w:hint="eastAsia" w:ascii="Arial" w:hAnsi="Arial" w:cs="Arial"/>
          <w:sz w:val="24"/>
        </w:rPr>
        <w:t>我方有幸参加</w:t>
      </w:r>
      <w:r>
        <w:rPr>
          <w:rFonts w:hint="eastAsia" w:hAnsi="宋体"/>
          <w:b/>
          <w:bCs/>
          <w:sz w:val="24"/>
          <w:u w:val="single"/>
          <w:lang w:val="en-US" w:eastAsia="zh-CN"/>
        </w:rPr>
        <w:t>XXXXXXXXXXXXXXXXXX</w:t>
      </w:r>
      <w:bookmarkStart w:id="583" w:name="_GoBack"/>
      <w:bookmarkEnd w:id="583"/>
      <w:r>
        <w:rPr>
          <w:rFonts w:hint="eastAsia" w:ascii="Arial" w:hAnsi="Arial" w:cs="Arial"/>
          <w:sz w:val="24"/>
        </w:rPr>
        <w:t>的投标，如我公司中标，我公司做出如下承诺：</w:t>
      </w:r>
    </w:p>
    <w:p w14:paraId="2DA0413B">
      <w:pPr>
        <w:pStyle w:val="40"/>
        <w:spacing w:before="0" w:beforeAutospacing="0" w:after="0" w:afterAutospacing="0" w:line="600" w:lineRule="exact"/>
        <w:ind w:firstLine="240" w:firstLineChars="100"/>
        <w:rPr>
          <w:rFonts w:ascii="Arial" w:hAnsi="Arial" w:cs="Arial"/>
        </w:rPr>
      </w:pPr>
      <w:r>
        <w:rPr>
          <w:rFonts w:hint="eastAsia" w:ascii="Arial" w:hAnsi="Arial" w:cs="Arial"/>
        </w:rPr>
        <w:t>（1）我公司具有独立订立合同的能力；</w:t>
      </w:r>
    </w:p>
    <w:p w14:paraId="77F34727">
      <w:pPr>
        <w:pStyle w:val="40"/>
        <w:spacing w:before="0" w:beforeAutospacing="0" w:after="0" w:afterAutospacing="0" w:line="600" w:lineRule="exact"/>
        <w:ind w:firstLine="240" w:firstLineChars="100"/>
      </w:pPr>
      <w:r>
        <w:rPr>
          <w:rFonts w:hint="eastAsia" w:ascii="Arial" w:hAnsi="Arial" w:cs="Arial"/>
        </w:rPr>
        <w:t>（2）</w:t>
      </w:r>
      <w:r>
        <w:rPr>
          <w:rFonts w:hint="eastAsia"/>
          <w:snapToGrid w:val="0"/>
        </w:rPr>
        <w:t>我公司</w:t>
      </w:r>
      <w:r>
        <w:rPr>
          <w:rFonts w:hint="eastAsia"/>
        </w:rPr>
        <w:t>未处于被责令停业、投标资格被取消或者财产被接管、冻结和破产状态。</w:t>
      </w:r>
    </w:p>
    <w:p w14:paraId="4AFD9163">
      <w:pPr>
        <w:tabs>
          <w:tab w:val="left" w:pos="720"/>
          <w:tab w:val="left" w:pos="1004"/>
          <w:tab w:val="center" w:pos="5059"/>
        </w:tabs>
        <w:spacing w:line="600" w:lineRule="exact"/>
        <w:ind w:firstLine="240" w:firstLineChars="100"/>
        <w:rPr>
          <w:rFonts w:ascii="宋体"/>
          <w:snapToGrid w:val="0"/>
          <w:sz w:val="24"/>
        </w:rPr>
      </w:pPr>
      <w:r>
        <w:rPr>
          <w:rFonts w:hint="eastAsia" w:ascii="Arial" w:hAnsi="Arial" w:cs="Arial"/>
          <w:sz w:val="24"/>
        </w:rPr>
        <w:t>（3）</w:t>
      </w:r>
      <w:r>
        <w:rPr>
          <w:rFonts w:hint="eastAsia" w:ascii="宋体" w:hAnsi="宋体"/>
          <w:snapToGrid w:val="0"/>
          <w:sz w:val="24"/>
        </w:rPr>
        <w:t>我公司没有因骗取中标或者严重违约以及发生重大工程质量、安全生产事故等问题，被有关部门暂停投标资格并在暂停期内的。</w:t>
      </w:r>
    </w:p>
    <w:p w14:paraId="7CBF644B">
      <w:pPr>
        <w:tabs>
          <w:tab w:val="left" w:pos="720"/>
          <w:tab w:val="left" w:pos="1004"/>
          <w:tab w:val="center" w:pos="5059"/>
        </w:tabs>
        <w:spacing w:line="600" w:lineRule="exact"/>
        <w:ind w:firstLine="240" w:firstLineChars="100"/>
        <w:rPr>
          <w:rFonts w:ascii="宋体" w:hAnsi="宋体"/>
          <w:snapToGrid w:val="0"/>
          <w:sz w:val="24"/>
        </w:rPr>
      </w:pPr>
      <w:r>
        <w:rPr>
          <w:rFonts w:hint="eastAsia" w:ascii="Arial" w:hAnsi="Arial" w:cs="Arial"/>
          <w:sz w:val="24"/>
        </w:rPr>
        <w:t>（4）我公司未被列入失信被执行人名单。</w:t>
      </w:r>
    </w:p>
    <w:p w14:paraId="55778F93">
      <w:pPr>
        <w:tabs>
          <w:tab w:val="left" w:pos="720"/>
          <w:tab w:val="left" w:pos="1004"/>
          <w:tab w:val="center" w:pos="5059"/>
        </w:tabs>
        <w:spacing w:line="600" w:lineRule="exact"/>
        <w:ind w:left="284"/>
        <w:rPr>
          <w:rFonts w:ascii="宋体" w:hAnsi="宋体"/>
          <w:snapToGrid w:val="0"/>
          <w:sz w:val="24"/>
        </w:rPr>
      </w:pPr>
      <w:r>
        <w:rPr>
          <w:rFonts w:hint="eastAsia" w:ascii="Arial" w:hAnsi="Arial" w:cs="Arial"/>
          <w:sz w:val="24"/>
        </w:rPr>
        <w:t>（5）</w:t>
      </w:r>
      <w:r>
        <w:rPr>
          <w:rFonts w:hint="eastAsia" w:ascii="宋体" w:hAnsi="宋体"/>
          <w:snapToGrid w:val="0"/>
          <w:sz w:val="24"/>
        </w:rPr>
        <w:t>我公司未采用联合体投标。</w:t>
      </w:r>
    </w:p>
    <w:p w14:paraId="66CBDDD5">
      <w:pPr>
        <w:tabs>
          <w:tab w:val="left" w:pos="720"/>
          <w:tab w:val="left" w:pos="1004"/>
          <w:tab w:val="center" w:pos="5059"/>
        </w:tabs>
        <w:spacing w:line="600" w:lineRule="exact"/>
        <w:ind w:left="284"/>
        <w:rPr>
          <w:rFonts w:ascii="宋体" w:hAnsi="宋体"/>
          <w:snapToGrid w:val="0"/>
          <w:sz w:val="24"/>
        </w:rPr>
      </w:pPr>
      <w:r>
        <w:rPr>
          <w:rFonts w:hint="eastAsia" w:ascii="Arial" w:hAnsi="Arial" w:cs="Arial"/>
          <w:sz w:val="24"/>
        </w:rPr>
        <w:t>（6）</w:t>
      </w:r>
      <w:r>
        <w:rPr>
          <w:rFonts w:hint="eastAsia" w:ascii="宋体" w:hAnsi="宋体"/>
          <w:snapToGrid w:val="0"/>
          <w:sz w:val="24"/>
        </w:rPr>
        <w:t>我公司符合法律、法规及本项目招标文件规定的其他条件。</w:t>
      </w:r>
    </w:p>
    <w:p w14:paraId="360A0FA4">
      <w:pPr>
        <w:tabs>
          <w:tab w:val="left" w:pos="720"/>
          <w:tab w:val="left" w:pos="1004"/>
          <w:tab w:val="center" w:pos="5059"/>
        </w:tabs>
        <w:spacing w:line="600" w:lineRule="exact"/>
        <w:ind w:left="284"/>
        <w:rPr>
          <w:rFonts w:ascii="宋体" w:hAnsi="宋体"/>
          <w:snapToGrid w:val="0"/>
          <w:sz w:val="24"/>
        </w:rPr>
      </w:pPr>
      <w:r>
        <w:rPr>
          <w:rFonts w:hint="eastAsia" w:ascii="Arial" w:hAnsi="Arial" w:cs="Arial"/>
          <w:sz w:val="24"/>
        </w:rPr>
        <w:t>（7）</w:t>
      </w:r>
      <w:r>
        <w:rPr>
          <w:rFonts w:hint="eastAsia" w:ascii="宋体" w:hAnsi="宋体"/>
          <w:snapToGrid w:val="0"/>
          <w:sz w:val="24"/>
        </w:rPr>
        <w:t>我公司对以上进行承诺，且我司投标文件若有不实之处，可取消我公司中标资格，并没收投标保证金。</w:t>
      </w:r>
    </w:p>
    <w:p w14:paraId="3B06E98F">
      <w:pPr>
        <w:tabs>
          <w:tab w:val="left" w:pos="720"/>
          <w:tab w:val="left" w:pos="1004"/>
          <w:tab w:val="center" w:pos="5059"/>
        </w:tabs>
        <w:spacing w:line="460" w:lineRule="exact"/>
        <w:ind w:left="284"/>
        <w:rPr>
          <w:rFonts w:ascii="宋体" w:hAnsi="宋体"/>
          <w:snapToGrid w:val="0"/>
          <w:sz w:val="24"/>
        </w:rPr>
      </w:pPr>
      <w:r>
        <w:rPr>
          <w:rFonts w:hint="eastAsia" w:ascii="宋体" w:hAnsi="宋体"/>
          <w:snapToGrid w:val="0"/>
          <w:sz w:val="24"/>
        </w:rPr>
        <w:t>（8）我公司承诺拟报项目组成员提供驻场服务。</w:t>
      </w:r>
    </w:p>
    <w:p w14:paraId="133AEAC5">
      <w:pPr>
        <w:tabs>
          <w:tab w:val="left" w:pos="720"/>
          <w:tab w:val="left" w:pos="1004"/>
          <w:tab w:val="center" w:pos="5059"/>
        </w:tabs>
        <w:spacing w:line="460" w:lineRule="exact"/>
        <w:ind w:left="284"/>
        <w:rPr>
          <w:rFonts w:ascii="宋体" w:hAnsi="宋体"/>
          <w:snapToGrid w:val="0"/>
          <w:sz w:val="24"/>
        </w:rPr>
      </w:pPr>
    </w:p>
    <w:p w14:paraId="564D368C">
      <w:pPr>
        <w:tabs>
          <w:tab w:val="left" w:pos="720"/>
          <w:tab w:val="left" w:pos="1004"/>
          <w:tab w:val="center" w:pos="5059"/>
        </w:tabs>
        <w:spacing w:line="460" w:lineRule="exact"/>
        <w:ind w:left="284"/>
        <w:rPr>
          <w:rFonts w:ascii="宋体" w:hAnsi="宋体"/>
          <w:snapToGrid w:val="0"/>
          <w:sz w:val="24"/>
        </w:rPr>
      </w:pPr>
    </w:p>
    <w:p w14:paraId="6B326E6D">
      <w:pPr>
        <w:tabs>
          <w:tab w:val="left" w:pos="720"/>
          <w:tab w:val="left" w:pos="1004"/>
          <w:tab w:val="center" w:pos="5059"/>
        </w:tabs>
        <w:spacing w:line="460" w:lineRule="exact"/>
        <w:ind w:left="284"/>
        <w:rPr>
          <w:rFonts w:ascii="宋体" w:hAnsi="宋体"/>
          <w:snapToGrid w:val="0"/>
          <w:sz w:val="24"/>
        </w:rPr>
      </w:pPr>
    </w:p>
    <w:p w14:paraId="08C33613">
      <w:pPr>
        <w:pStyle w:val="125"/>
        <w:tabs>
          <w:tab w:val="left" w:pos="5665"/>
          <w:tab w:val="right" w:pos="8360"/>
        </w:tabs>
        <w:spacing w:line="360" w:lineRule="auto"/>
        <w:ind w:right="42" w:firstLine="1560" w:firstLineChars="650"/>
        <w:rPr>
          <w:rFonts w:hAnsi="宋体" w:cs="宋体"/>
          <w:sz w:val="24"/>
        </w:rPr>
      </w:pPr>
    </w:p>
    <w:p w14:paraId="43FE2EB9">
      <w:pPr>
        <w:pStyle w:val="125"/>
        <w:tabs>
          <w:tab w:val="left" w:pos="5665"/>
          <w:tab w:val="right" w:pos="8360"/>
        </w:tabs>
        <w:spacing w:line="360" w:lineRule="auto"/>
        <w:ind w:right="42" w:firstLine="1560" w:firstLineChars="650"/>
        <w:rPr>
          <w:rFonts w:hAnsi="宋体" w:cs="宋体"/>
          <w:sz w:val="24"/>
          <w:u w:val="single"/>
        </w:rPr>
      </w:pPr>
      <w:r>
        <w:rPr>
          <w:rFonts w:hint="eastAsia" w:hAnsi="宋体" w:cs="宋体"/>
          <w:sz w:val="24"/>
        </w:rPr>
        <w:t>投标人(公章)：</w:t>
      </w:r>
      <w:r>
        <w:rPr>
          <w:rFonts w:hint="eastAsia" w:hAnsi="宋体" w:cs="宋体"/>
          <w:sz w:val="24"/>
          <w:u w:val="single"/>
        </w:rPr>
        <w:t xml:space="preserve">                                  </w:t>
      </w:r>
    </w:p>
    <w:p w14:paraId="0953556A">
      <w:pPr>
        <w:pStyle w:val="125"/>
        <w:tabs>
          <w:tab w:val="left" w:pos="5665"/>
          <w:tab w:val="right" w:pos="8360"/>
        </w:tabs>
        <w:spacing w:line="360" w:lineRule="auto"/>
        <w:ind w:right="42"/>
        <w:rPr>
          <w:rFonts w:hAnsi="宋体" w:cs="宋体"/>
          <w:sz w:val="24"/>
          <w:u w:val="single"/>
        </w:rPr>
      </w:pPr>
    </w:p>
    <w:p w14:paraId="5D006DB1">
      <w:pPr>
        <w:pStyle w:val="125"/>
        <w:tabs>
          <w:tab w:val="left" w:pos="5665"/>
          <w:tab w:val="right" w:pos="8360"/>
        </w:tabs>
        <w:spacing w:line="360" w:lineRule="auto"/>
        <w:ind w:right="42" w:firstLine="1560" w:firstLineChars="650"/>
        <w:rPr>
          <w:rFonts w:hAnsi="宋体" w:cs="宋体"/>
          <w:sz w:val="24"/>
          <w:u w:val="single"/>
        </w:rPr>
      </w:pPr>
      <w:r>
        <w:rPr>
          <w:rFonts w:hint="eastAsia" w:hAnsi="宋体" w:cs="宋体"/>
          <w:sz w:val="24"/>
        </w:rPr>
        <w:t>法定代表人或委托代理人（签字或印章）：</w:t>
      </w:r>
      <w:r>
        <w:rPr>
          <w:rFonts w:hint="eastAsia" w:hAnsi="宋体" w:cs="宋体"/>
          <w:sz w:val="24"/>
          <w:u w:val="single"/>
        </w:rPr>
        <w:t xml:space="preserve">             </w:t>
      </w:r>
    </w:p>
    <w:p w14:paraId="747D0341">
      <w:pPr>
        <w:pStyle w:val="125"/>
        <w:tabs>
          <w:tab w:val="left" w:pos="5665"/>
          <w:tab w:val="right" w:pos="8360"/>
        </w:tabs>
        <w:spacing w:line="360" w:lineRule="auto"/>
        <w:ind w:right="42" w:firstLine="1560" w:firstLineChars="650"/>
        <w:rPr>
          <w:rFonts w:hAnsi="宋体" w:cs="宋体"/>
          <w:sz w:val="24"/>
          <w:u w:val="single"/>
        </w:rPr>
      </w:pPr>
    </w:p>
    <w:p w14:paraId="7AF2BA4A">
      <w:pPr>
        <w:pStyle w:val="125"/>
        <w:tabs>
          <w:tab w:val="left" w:pos="5665"/>
          <w:tab w:val="right" w:pos="8360"/>
        </w:tabs>
        <w:spacing w:line="360" w:lineRule="auto"/>
        <w:ind w:right="42" w:firstLine="1575" w:firstLineChars="750"/>
        <w:jc w:val="left"/>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14:paraId="4CE19574">
      <w:pPr>
        <w:pStyle w:val="125"/>
        <w:spacing w:line="360" w:lineRule="auto"/>
        <w:jc w:val="center"/>
        <w:rPr>
          <w:rFonts w:hAnsi="宋体" w:cs="宋体"/>
          <w:sz w:val="24"/>
        </w:rPr>
      </w:pPr>
    </w:p>
    <w:p w14:paraId="052F64A0">
      <w:pPr>
        <w:pStyle w:val="125"/>
        <w:spacing w:line="360" w:lineRule="auto"/>
        <w:rPr>
          <w:rFonts w:hAnsi="宋体" w:cs="宋体"/>
          <w:sz w:val="24"/>
        </w:rPr>
      </w:pPr>
    </w:p>
    <w:p w14:paraId="06340DAB">
      <w:pPr>
        <w:pStyle w:val="4"/>
        <w:jc w:val="left"/>
        <w:rPr>
          <w:rFonts w:ascii="Calibri" w:hAnsi="Calibri" w:eastAsia="宋体"/>
          <w:bCs w:val="0"/>
        </w:rPr>
      </w:pPr>
      <w:bookmarkStart w:id="539" w:name="_Toc2027"/>
      <w:bookmarkStart w:id="540" w:name="_Toc10873"/>
      <w:bookmarkStart w:id="541" w:name="_Toc7327"/>
      <w:bookmarkStart w:id="542" w:name="_Toc21534"/>
      <w:bookmarkStart w:id="543" w:name="_Toc8983"/>
      <w:bookmarkStart w:id="544" w:name="_Toc57041964"/>
      <w:bookmarkStart w:id="545" w:name="_Toc29677"/>
      <w:bookmarkStart w:id="546" w:name="_Toc6307"/>
      <w:bookmarkStart w:id="547" w:name="_Toc29237"/>
      <w:bookmarkStart w:id="548" w:name="_Toc1611"/>
      <w:bookmarkStart w:id="549" w:name="_Toc12261"/>
      <w:bookmarkStart w:id="550" w:name="_Toc29972"/>
      <w:bookmarkStart w:id="551" w:name="_Toc27728"/>
      <w:bookmarkStart w:id="552" w:name="_Toc416365790"/>
      <w:bookmarkStart w:id="553" w:name="_Toc426192146"/>
      <w:bookmarkStart w:id="554" w:name="_Toc426403500"/>
      <w:bookmarkStart w:id="555" w:name="_Toc427750586"/>
      <w:bookmarkStart w:id="556" w:name="_Toc426292718"/>
      <w:bookmarkStart w:id="557" w:name="_Toc427652288"/>
      <w:bookmarkStart w:id="558" w:name="_Toc431499916"/>
      <w:bookmarkStart w:id="559" w:name="_Toc259727117"/>
      <w:bookmarkStart w:id="560" w:name="_Toc338083057"/>
      <w:bookmarkStart w:id="561" w:name="_Toc387526355"/>
      <w:bookmarkStart w:id="562" w:name="_Toc387526251"/>
      <w:bookmarkStart w:id="563" w:name="_Toc387526447"/>
      <w:bookmarkStart w:id="564" w:name="_Toc28405"/>
      <w:r>
        <w:rPr>
          <w:rFonts w:ascii="Calibri" w:hAnsi="Calibri" w:eastAsia="宋体"/>
          <w:bCs w:val="0"/>
        </w:rPr>
        <w:t>5</w:t>
      </w:r>
      <w:r>
        <w:rPr>
          <w:rFonts w:hint="eastAsia" w:ascii="Calibri" w:hAnsi="Calibri" w:eastAsia="宋体"/>
          <w:bCs w:val="0"/>
        </w:rPr>
        <w:t>、项目组人员、</w:t>
      </w:r>
      <w:bookmarkEnd w:id="539"/>
      <w:bookmarkEnd w:id="540"/>
      <w:bookmarkEnd w:id="541"/>
      <w:bookmarkEnd w:id="542"/>
      <w:bookmarkEnd w:id="543"/>
      <w:r>
        <w:rPr>
          <w:rFonts w:hint="eastAsia" w:ascii="Calibri" w:hAnsi="Calibri" w:eastAsia="宋体"/>
          <w:bCs w:val="0"/>
        </w:rPr>
        <w:t>人员驻场服务等情况</w:t>
      </w:r>
      <w:bookmarkEnd w:id="544"/>
      <w:bookmarkEnd w:id="545"/>
      <w:bookmarkEnd w:id="546"/>
    </w:p>
    <w:bookmarkEnd w:id="547"/>
    <w:bookmarkEnd w:id="548"/>
    <w:bookmarkEnd w:id="549"/>
    <w:bookmarkEnd w:id="550"/>
    <w:bookmarkEnd w:id="551"/>
    <w:p w14:paraId="34E1CD27">
      <w:pPr>
        <w:jc w:val="center"/>
        <w:outlineLvl w:val="2"/>
        <w:rPr>
          <w:rFonts w:ascii="宋体" w:hAnsi="宋体"/>
          <w:b/>
          <w:sz w:val="28"/>
          <w:szCs w:val="28"/>
        </w:rPr>
      </w:pPr>
      <w:bookmarkStart w:id="565" w:name="_Toc15922"/>
      <w:bookmarkStart w:id="566" w:name="_Toc14588"/>
      <w:bookmarkStart w:id="567" w:name="_Toc57041967"/>
      <w:bookmarkStart w:id="568" w:name="_Toc13473"/>
      <w:r>
        <w:rPr>
          <w:rFonts w:ascii="宋体" w:hAnsi="宋体"/>
          <w:b/>
          <w:sz w:val="28"/>
          <w:szCs w:val="28"/>
        </w:rPr>
        <w:t>5</w:t>
      </w:r>
      <w:r>
        <w:rPr>
          <w:rFonts w:hint="eastAsia" w:ascii="宋体" w:hAnsi="宋体"/>
          <w:b/>
          <w:sz w:val="28"/>
          <w:szCs w:val="28"/>
        </w:rPr>
        <w:t>.1 为</w:t>
      </w:r>
      <w:r>
        <w:rPr>
          <w:rFonts w:ascii="宋体" w:hAnsi="宋体"/>
          <w:b/>
          <w:sz w:val="28"/>
          <w:szCs w:val="28"/>
        </w:rPr>
        <w:t>本项目</w:t>
      </w:r>
      <w:r>
        <w:rPr>
          <w:rFonts w:hint="eastAsia" w:ascii="宋体" w:hAnsi="宋体"/>
          <w:b/>
          <w:sz w:val="28"/>
          <w:szCs w:val="28"/>
        </w:rPr>
        <w:t>服务</w:t>
      </w:r>
      <w:r>
        <w:rPr>
          <w:rFonts w:ascii="宋体" w:hAnsi="宋体"/>
          <w:b/>
          <w:sz w:val="28"/>
          <w:szCs w:val="28"/>
        </w:rPr>
        <w:t>的主要人员（总表）</w:t>
      </w:r>
      <w:bookmarkEnd w:id="565"/>
      <w:bookmarkEnd w:id="566"/>
      <w:bookmarkEnd w:id="567"/>
      <w:bookmarkEnd w:id="568"/>
    </w:p>
    <w:p w14:paraId="5588265C">
      <w:pPr>
        <w:ind w:left="-8" w:leftChars="-95" w:hanging="191" w:hangingChars="91"/>
        <w:jc w:val="left"/>
        <w:outlineLvl w:val="2"/>
        <w:rPr>
          <w:rFonts w:ascii="宋体" w:hAnsi="宋体" w:cs="宋体"/>
          <w:kern w:val="0"/>
          <w:szCs w:val="21"/>
        </w:rPr>
      </w:pPr>
      <w:bookmarkStart w:id="569" w:name="_Toc9497"/>
      <w:bookmarkStart w:id="570" w:name="_Toc32550"/>
      <w:bookmarkStart w:id="571" w:name="_Toc57041968"/>
      <w:bookmarkStart w:id="572" w:name="OLE_LINK46"/>
      <w:r>
        <w:rPr>
          <w:rFonts w:hint="eastAsia" w:ascii="宋体" w:hAnsi="宋体" w:cs="宋体"/>
          <w:kern w:val="0"/>
          <w:szCs w:val="21"/>
        </w:rPr>
        <w:t>项目名称：</w:t>
      </w:r>
      <w:bookmarkEnd w:id="569"/>
      <w:bookmarkEnd w:id="570"/>
      <w:bookmarkEnd w:id="571"/>
    </w:p>
    <w:p w14:paraId="6334856A">
      <w:pPr>
        <w:widowControl/>
        <w:ind w:left="-8" w:leftChars="-95" w:hanging="191" w:hangingChars="91"/>
        <w:jc w:val="left"/>
        <w:rPr>
          <w:rFonts w:ascii="宋体" w:hAnsi="宋体"/>
          <w:b/>
          <w:sz w:val="28"/>
          <w:szCs w:val="28"/>
        </w:rPr>
      </w:pPr>
      <w:r>
        <w:rPr>
          <w:rFonts w:hint="eastAsia" w:ascii="宋体" w:hAnsi="宋体" w:cs="宋体"/>
          <w:kern w:val="0"/>
          <w:szCs w:val="21"/>
        </w:rPr>
        <w:t>项目编号：</w:t>
      </w:r>
    </w:p>
    <w:bookmarkEnd w:id="572"/>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2"/>
        <w:gridCol w:w="855"/>
        <w:gridCol w:w="1422"/>
        <w:gridCol w:w="1773"/>
        <w:gridCol w:w="1407"/>
        <w:gridCol w:w="1608"/>
        <w:gridCol w:w="1350"/>
      </w:tblGrid>
      <w:tr w14:paraId="394B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70EF2638">
            <w:pPr>
              <w:spacing w:line="320" w:lineRule="atLeast"/>
              <w:jc w:val="center"/>
              <w:rPr>
                <w:rFonts w:ascii="宋体" w:hAnsi="宋体" w:cs="Arial"/>
                <w:b/>
                <w:bCs/>
                <w:kern w:val="0"/>
                <w:szCs w:val="21"/>
              </w:rPr>
            </w:pPr>
            <w:r>
              <w:rPr>
                <w:rFonts w:hint="eastAsia" w:ascii="宋体" w:hAnsi="宋体" w:cs="Arial"/>
                <w:b/>
                <w:bCs/>
                <w:kern w:val="0"/>
                <w:szCs w:val="21"/>
              </w:rPr>
              <w:t>姓名</w:t>
            </w:r>
          </w:p>
        </w:tc>
        <w:tc>
          <w:tcPr>
            <w:tcW w:w="855" w:type="dxa"/>
            <w:vAlign w:val="center"/>
          </w:tcPr>
          <w:p w14:paraId="219A3612">
            <w:pPr>
              <w:spacing w:line="320" w:lineRule="atLeast"/>
              <w:jc w:val="center"/>
              <w:rPr>
                <w:rFonts w:ascii="宋体" w:hAnsi="宋体" w:cs="Arial"/>
                <w:b/>
                <w:bCs/>
                <w:kern w:val="0"/>
                <w:szCs w:val="21"/>
              </w:rPr>
            </w:pPr>
            <w:r>
              <w:rPr>
                <w:rFonts w:hint="eastAsia" w:ascii="宋体" w:hAnsi="宋体" w:cs="Arial"/>
                <w:b/>
                <w:bCs/>
                <w:kern w:val="0"/>
                <w:szCs w:val="21"/>
              </w:rPr>
              <w:t>年龄</w:t>
            </w:r>
          </w:p>
        </w:tc>
        <w:tc>
          <w:tcPr>
            <w:tcW w:w="1422" w:type="dxa"/>
            <w:vAlign w:val="center"/>
          </w:tcPr>
          <w:p w14:paraId="3419109B">
            <w:pPr>
              <w:spacing w:line="320" w:lineRule="atLeast"/>
              <w:jc w:val="center"/>
              <w:rPr>
                <w:rFonts w:ascii="宋体" w:hAnsi="宋体" w:cs="Arial"/>
                <w:b/>
                <w:bCs/>
                <w:kern w:val="0"/>
                <w:szCs w:val="21"/>
              </w:rPr>
            </w:pPr>
            <w:r>
              <w:rPr>
                <w:rFonts w:hint="eastAsia" w:ascii="宋体" w:hAnsi="宋体" w:cs="Arial"/>
                <w:b/>
                <w:bCs/>
                <w:kern w:val="0"/>
                <w:szCs w:val="21"/>
              </w:rPr>
              <w:t>职称</w:t>
            </w:r>
          </w:p>
        </w:tc>
        <w:tc>
          <w:tcPr>
            <w:tcW w:w="1773" w:type="dxa"/>
            <w:vAlign w:val="center"/>
          </w:tcPr>
          <w:p w14:paraId="409EC966">
            <w:pPr>
              <w:spacing w:line="320" w:lineRule="atLeast"/>
              <w:jc w:val="center"/>
              <w:rPr>
                <w:rFonts w:ascii="宋体" w:hAnsi="宋体" w:cs="Arial"/>
                <w:b/>
                <w:bCs/>
                <w:kern w:val="0"/>
                <w:szCs w:val="21"/>
              </w:rPr>
            </w:pPr>
            <w:r>
              <w:rPr>
                <w:rFonts w:hint="eastAsia" w:ascii="宋体" w:hAnsi="宋体" w:cs="Arial"/>
                <w:b/>
                <w:bCs/>
                <w:kern w:val="0"/>
                <w:szCs w:val="21"/>
              </w:rPr>
              <w:t>拟在本项目中担任的职务</w:t>
            </w:r>
          </w:p>
        </w:tc>
        <w:tc>
          <w:tcPr>
            <w:tcW w:w="1407" w:type="dxa"/>
            <w:vAlign w:val="center"/>
          </w:tcPr>
          <w:p w14:paraId="26A125A6">
            <w:pPr>
              <w:spacing w:line="320" w:lineRule="atLeast"/>
              <w:jc w:val="center"/>
              <w:rPr>
                <w:rFonts w:ascii="宋体" w:hAnsi="宋体" w:cs="Arial"/>
                <w:b/>
                <w:bCs/>
                <w:kern w:val="0"/>
                <w:szCs w:val="21"/>
              </w:rPr>
            </w:pPr>
            <w:r>
              <w:rPr>
                <w:rFonts w:hint="eastAsia" w:ascii="宋体" w:hAnsi="宋体" w:cs="Arial"/>
                <w:b/>
                <w:bCs/>
                <w:kern w:val="0"/>
                <w:szCs w:val="21"/>
              </w:rPr>
              <w:t>造价师注册证书编号及专业</w:t>
            </w:r>
          </w:p>
        </w:tc>
        <w:tc>
          <w:tcPr>
            <w:tcW w:w="1608" w:type="dxa"/>
            <w:vAlign w:val="center"/>
          </w:tcPr>
          <w:p w14:paraId="0F2E11BF">
            <w:pPr>
              <w:spacing w:line="320" w:lineRule="atLeast"/>
              <w:jc w:val="center"/>
              <w:rPr>
                <w:rFonts w:ascii="宋体" w:hAnsi="宋体" w:cs="Arial"/>
                <w:b/>
                <w:bCs/>
                <w:kern w:val="0"/>
                <w:szCs w:val="21"/>
              </w:rPr>
            </w:pPr>
            <w:r>
              <w:rPr>
                <w:rFonts w:hint="eastAsia" w:ascii="宋体" w:hAnsi="宋体" w:cs="Arial"/>
                <w:b/>
                <w:bCs/>
                <w:kern w:val="0"/>
                <w:szCs w:val="21"/>
              </w:rPr>
              <w:t>是否为现场服务人员</w:t>
            </w:r>
          </w:p>
        </w:tc>
        <w:tc>
          <w:tcPr>
            <w:tcW w:w="1350" w:type="dxa"/>
            <w:vAlign w:val="center"/>
          </w:tcPr>
          <w:p w14:paraId="756B87F4">
            <w:pPr>
              <w:spacing w:line="320" w:lineRule="atLeast"/>
              <w:jc w:val="center"/>
              <w:rPr>
                <w:rFonts w:ascii="宋体" w:hAnsi="宋体" w:cs="Arial"/>
                <w:b/>
                <w:bCs/>
                <w:kern w:val="0"/>
                <w:szCs w:val="21"/>
              </w:rPr>
            </w:pPr>
            <w:r>
              <w:rPr>
                <w:rFonts w:hint="eastAsia" w:ascii="宋体" w:hAnsi="宋体" w:cs="Arial"/>
                <w:b/>
                <w:bCs/>
                <w:kern w:val="0"/>
                <w:szCs w:val="21"/>
              </w:rPr>
              <w:t>造价咨询专业工作年限</w:t>
            </w:r>
          </w:p>
        </w:tc>
      </w:tr>
      <w:tr w14:paraId="27A5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2139C6BD">
            <w:pPr>
              <w:spacing w:line="360" w:lineRule="auto"/>
              <w:jc w:val="center"/>
              <w:rPr>
                <w:rFonts w:ascii="宋体" w:hAnsi="宋体" w:cs="Arial"/>
                <w:kern w:val="0"/>
                <w:szCs w:val="21"/>
              </w:rPr>
            </w:pPr>
          </w:p>
        </w:tc>
        <w:tc>
          <w:tcPr>
            <w:tcW w:w="855" w:type="dxa"/>
            <w:vAlign w:val="center"/>
          </w:tcPr>
          <w:p w14:paraId="4089F88F">
            <w:pPr>
              <w:spacing w:line="320" w:lineRule="exact"/>
              <w:jc w:val="center"/>
              <w:rPr>
                <w:rFonts w:ascii="宋体" w:hAnsi="宋体" w:cs="Arial"/>
                <w:kern w:val="0"/>
                <w:szCs w:val="21"/>
              </w:rPr>
            </w:pPr>
          </w:p>
        </w:tc>
        <w:tc>
          <w:tcPr>
            <w:tcW w:w="1422" w:type="dxa"/>
            <w:vAlign w:val="center"/>
          </w:tcPr>
          <w:p w14:paraId="08114CC3">
            <w:pPr>
              <w:jc w:val="center"/>
              <w:rPr>
                <w:rFonts w:ascii="宋体" w:hAnsi="宋体"/>
                <w:szCs w:val="21"/>
              </w:rPr>
            </w:pPr>
          </w:p>
        </w:tc>
        <w:tc>
          <w:tcPr>
            <w:tcW w:w="1773" w:type="dxa"/>
            <w:vAlign w:val="center"/>
          </w:tcPr>
          <w:p w14:paraId="1ABA7AE8">
            <w:pPr>
              <w:jc w:val="center"/>
              <w:rPr>
                <w:rFonts w:ascii="宋体" w:hAnsi="宋体"/>
                <w:szCs w:val="21"/>
              </w:rPr>
            </w:pPr>
          </w:p>
        </w:tc>
        <w:tc>
          <w:tcPr>
            <w:tcW w:w="1407" w:type="dxa"/>
            <w:vAlign w:val="center"/>
          </w:tcPr>
          <w:p w14:paraId="7F09D43E">
            <w:pPr>
              <w:spacing w:line="320" w:lineRule="exact"/>
              <w:jc w:val="center"/>
              <w:rPr>
                <w:rFonts w:ascii="宋体" w:hAnsi="宋体"/>
                <w:szCs w:val="21"/>
              </w:rPr>
            </w:pPr>
          </w:p>
        </w:tc>
        <w:tc>
          <w:tcPr>
            <w:tcW w:w="1608" w:type="dxa"/>
            <w:vAlign w:val="center"/>
          </w:tcPr>
          <w:p w14:paraId="3720570B">
            <w:pPr>
              <w:spacing w:line="320" w:lineRule="exact"/>
              <w:jc w:val="center"/>
              <w:rPr>
                <w:rFonts w:ascii="宋体" w:hAnsi="宋体"/>
                <w:szCs w:val="21"/>
              </w:rPr>
            </w:pPr>
          </w:p>
        </w:tc>
        <w:tc>
          <w:tcPr>
            <w:tcW w:w="1350" w:type="dxa"/>
            <w:vAlign w:val="center"/>
          </w:tcPr>
          <w:p w14:paraId="6EB81909">
            <w:pPr>
              <w:snapToGrid w:val="0"/>
              <w:rPr>
                <w:rFonts w:ascii="宋体" w:hAnsi="宋体" w:cs="Arial"/>
                <w:kern w:val="0"/>
                <w:szCs w:val="21"/>
              </w:rPr>
            </w:pPr>
          </w:p>
        </w:tc>
      </w:tr>
      <w:tr w14:paraId="3528A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0D41AFAD">
            <w:pPr>
              <w:spacing w:line="360" w:lineRule="auto"/>
              <w:jc w:val="center"/>
              <w:rPr>
                <w:rFonts w:ascii="宋体" w:hAnsi="宋体" w:cs="Arial"/>
                <w:kern w:val="0"/>
                <w:szCs w:val="21"/>
              </w:rPr>
            </w:pPr>
          </w:p>
        </w:tc>
        <w:tc>
          <w:tcPr>
            <w:tcW w:w="855" w:type="dxa"/>
            <w:vAlign w:val="center"/>
          </w:tcPr>
          <w:p w14:paraId="2BFD2CA8">
            <w:pPr>
              <w:spacing w:line="320" w:lineRule="exact"/>
              <w:jc w:val="center"/>
              <w:rPr>
                <w:rFonts w:ascii="宋体" w:hAnsi="宋体" w:cs="Arial"/>
                <w:kern w:val="0"/>
                <w:szCs w:val="21"/>
              </w:rPr>
            </w:pPr>
          </w:p>
        </w:tc>
        <w:tc>
          <w:tcPr>
            <w:tcW w:w="1422" w:type="dxa"/>
            <w:vAlign w:val="center"/>
          </w:tcPr>
          <w:p w14:paraId="2AA6F456">
            <w:pPr>
              <w:jc w:val="center"/>
              <w:rPr>
                <w:rFonts w:ascii="宋体" w:hAnsi="宋体"/>
                <w:szCs w:val="21"/>
              </w:rPr>
            </w:pPr>
          </w:p>
        </w:tc>
        <w:tc>
          <w:tcPr>
            <w:tcW w:w="1773" w:type="dxa"/>
            <w:vAlign w:val="center"/>
          </w:tcPr>
          <w:p w14:paraId="61F84FC5">
            <w:pPr>
              <w:jc w:val="center"/>
              <w:rPr>
                <w:rFonts w:ascii="宋体" w:hAnsi="宋体"/>
                <w:szCs w:val="21"/>
              </w:rPr>
            </w:pPr>
          </w:p>
        </w:tc>
        <w:tc>
          <w:tcPr>
            <w:tcW w:w="1407" w:type="dxa"/>
            <w:vAlign w:val="center"/>
          </w:tcPr>
          <w:p w14:paraId="0E19322E">
            <w:pPr>
              <w:spacing w:line="320" w:lineRule="exact"/>
              <w:jc w:val="center"/>
              <w:rPr>
                <w:rFonts w:ascii="宋体" w:hAnsi="宋体"/>
                <w:szCs w:val="21"/>
              </w:rPr>
            </w:pPr>
          </w:p>
        </w:tc>
        <w:tc>
          <w:tcPr>
            <w:tcW w:w="1608" w:type="dxa"/>
            <w:vAlign w:val="center"/>
          </w:tcPr>
          <w:p w14:paraId="77A6BA9E">
            <w:pPr>
              <w:spacing w:line="320" w:lineRule="exact"/>
              <w:jc w:val="center"/>
              <w:rPr>
                <w:rFonts w:ascii="宋体" w:hAnsi="宋体"/>
                <w:szCs w:val="21"/>
              </w:rPr>
            </w:pPr>
          </w:p>
        </w:tc>
        <w:tc>
          <w:tcPr>
            <w:tcW w:w="1350" w:type="dxa"/>
            <w:vAlign w:val="center"/>
          </w:tcPr>
          <w:p w14:paraId="52522A2C">
            <w:pPr>
              <w:spacing w:line="320" w:lineRule="atLeast"/>
              <w:jc w:val="center"/>
              <w:rPr>
                <w:rFonts w:ascii="宋体" w:hAnsi="宋体" w:cs="Arial"/>
                <w:kern w:val="0"/>
                <w:szCs w:val="21"/>
              </w:rPr>
            </w:pPr>
          </w:p>
        </w:tc>
      </w:tr>
      <w:tr w14:paraId="2EA40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749BC1ED">
            <w:pPr>
              <w:spacing w:line="360" w:lineRule="auto"/>
              <w:jc w:val="center"/>
              <w:rPr>
                <w:rFonts w:ascii="宋体" w:hAnsi="宋体" w:cs="Arial"/>
                <w:kern w:val="0"/>
                <w:szCs w:val="21"/>
              </w:rPr>
            </w:pPr>
          </w:p>
        </w:tc>
        <w:tc>
          <w:tcPr>
            <w:tcW w:w="855" w:type="dxa"/>
            <w:vAlign w:val="center"/>
          </w:tcPr>
          <w:p w14:paraId="166B9983">
            <w:pPr>
              <w:spacing w:line="320" w:lineRule="exact"/>
              <w:jc w:val="center"/>
              <w:rPr>
                <w:rFonts w:ascii="宋体" w:hAnsi="宋体" w:cs="Arial"/>
                <w:kern w:val="0"/>
                <w:szCs w:val="21"/>
              </w:rPr>
            </w:pPr>
          </w:p>
        </w:tc>
        <w:tc>
          <w:tcPr>
            <w:tcW w:w="1422" w:type="dxa"/>
            <w:vAlign w:val="center"/>
          </w:tcPr>
          <w:p w14:paraId="38ECE62C">
            <w:pPr>
              <w:spacing w:line="320" w:lineRule="atLeast"/>
              <w:jc w:val="center"/>
              <w:rPr>
                <w:rFonts w:ascii="宋体" w:hAnsi="宋体" w:cs="Arial"/>
                <w:kern w:val="0"/>
                <w:szCs w:val="21"/>
              </w:rPr>
            </w:pPr>
          </w:p>
        </w:tc>
        <w:tc>
          <w:tcPr>
            <w:tcW w:w="1773" w:type="dxa"/>
            <w:vAlign w:val="center"/>
          </w:tcPr>
          <w:p w14:paraId="7346E692">
            <w:pPr>
              <w:spacing w:line="320" w:lineRule="atLeast"/>
              <w:jc w:val="center"/>
              <w:rPr>
                <w:rFonts w:ascii="宋体" w:hAnsi="宋体" w:cs="Arial"/>
                <w:kern w:val="0"/>
                <w:szCs w:val="21"/>
              </w:rPr>
            </w:pPr>
          </w:p>
        </w:tc>
        <w:tc>
          <w:tcPr>
            <w:tcW w:w="1407" w:type="dxa"/>
            <w:vAlign w:val="center"/>
          </w:tcPr>
          <w:p w14:paraId="02085EE9">
            <w:pPr>
              <w:spacing w:line="320" w:lineRule="exact"/>
              <w:jc w:val="center"/>
              <w:rPr>
                <w:rFonts w:ascii="宋体" w:hAnsi="宋体" w:cs="Arial"/>
                <w:kern w:val="0"/>
                <w:szCs w:val="21"/>
              </w:rPr>
            </w:pPr>
          </w:p>
        </w:tc>
        <w:tc>
          <w:tcPr>
            <w:tcW w:w="1608" w:type="dxa"/>
            <w:vAlign w:val="center"/>
          </w:tcPr>
          <w:p w14:paraId="162DCB77">
            <w:pPr>
              <w:spacing w:line="320" w:lineRule="exact"/>
              <w:jc w:val="center"/>
              <w:rPr>
                <w:rFonts w:ascii="宋体" w:hAnsi="宋体" w:cs="Arial"/>
                <w:kern w:val="0"/>
                <w:szCs w:val="21"/>
              </w:rPr>
            </w:pPr>
          </w:p>
        </w:tc>
        <w:tc>
          <w:tcPr>
            <w:tcW w:w="1350" w:type="dxa"/>
            <w:vAlign w:val="center"/>
          </w:tcPr>
          <w:p w14:paraId="75E35E42">
            <w:pPr>
              <w:spacing w:line="320" w:lineRule="atLeast"/>
              <w:jc w:val="center"/>
              <w:rPr>
                <w:rFonts w:ascii="宋体" w:hAnsi="宋体" w:cs="Arial"/>
                <w:kern w:val="0"/>
                <w:szCs w:val="21"/>
              </w:rPr>
            </w:pPr>
          </w:p>
        </w:tc>
      </w:tr>
      <w:tr w14:paraId="512EE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66807486">
            <w:pPr>
              <w:widowControl/>
              <w:jc w:val="center"/>
              <w:rPr>
                <w:rFonts w:ascii="宋体" w:hAnsi="宋体" w:cs="Arial"/>
                <w:kern w:val="0"/>
                <w:szCs w:val="21"/>
              </w:rPr>
            </w:pPr>
          </w:p>
        </w:tc>
        <w:tc>
          <w:tcPr>
            <w:tcW w:w="855" w:type="dxa"/>
            <w:vAlign w:val="center"/>
          </w:tcPr>
          <w:p w14:paraId="69031357">
            <w:pPr>
              <w:widowControl/>
              <w:spacing w:line="320" w:lineRule="exact"/>
              <w:jc w:val="center"/>
              <w:rPr>
                <w:rFonts w:ascii="宋体" w:hAnsi="宋体" w:cs="Arial"/>
                <w:kern w:val="0"/>
                <w:szCs w:val="21"/>
              </w:rPr>
            </w:pPr>
          </w:p>
        </w:tc>
        <w:tc>
          <w:tcPr>
            <w:tcW w:w="1422" w:type="dxa"/>
            <w:vAlign w:val="center"/>
          </w:tcPr>
          <w:p w14:paraId="3609E891">
            <w:pPr>
              <w:spacing w:line="320" w:lineRule="atLeast"/>
              <w:jc w:val="center"/>
              <w:rPr>
                <w:rFonts w:ascii="宋体" w:hAnsi="宋体" w:cs="Arial"/>
                <w:kern w:val="0"/>
                <w:szCs w:val="21"/>
              </w:rPr>
            </w:pPr>
          </w:p>
        </w:tc>
        <w:tc>
          <w:tcPr>
            <w:tcW w:w="1773" w:type="dxa"/>
            <w:vAlign w:val="center"/>
          </w:tcPr>
          <w:p w14:paraId="352BD519">
            <w:pPr>
              <w:spacing w:line="320" w:lineRule="atLeast"/>
              <w:jc w:val="center"/>
              <w:rPr>
                <w:rFonts w:ascii="宋体" w:hAnsi="宋体" w:cs="Arial"/>
                <w:kern w:val="0"/>
                <w:szCs w:val="21"/>
              </w:rPr>
            </w:pPr>
          </w:p>
        </w:tc>
        <w:tc>
          <w:tcPr>
            <w:tcW w:w="1407" w:type="dxa"/>
            <w:vAlign w:val="center"/>
          </w:tcPr>
          <w:p w14:paraId="6D9AF26D">
            <w:pPr>
              <w:spacing w:line="320" w:lineRule="exact"/>
              <w:jc w:val="center"/>
              <w:rPr>
                <w:rFonts w:ascii="宋体" w:hAnsi="宋体" w:cs="Arial"/>
                <w:kern w:val="0"/>
                <w:szCs w:val="21"/>
              </w:rPr>
            </w:pPr>
          </w:p>
        </w:tc>
        <w:tc>
          <w:tcPr>
            <w:tcW w:w="1608" w:type="dxa"/>
            <w:vAlign w:val="center"/>
          </w:tcPr>
          <w:p w14:paraId="6C533156">
            <w:pPr>
              <w:spacing w:line="320" w:lineRule="exact"/>
              <w:jc w:val="center"/>
              <w:rPr>
                <w:rFonts w:ascii="宋体" w:hAnsi="宋体" w:cs="Arial"/>
                <w:kern w:val="0"/>
                <w:szCs w:val="21"/>
              </w:rPr>
            </w:pPr>
          </w:p>
        </w:tc>
        <w:tc>
          <w:tcPr>
            <w:tcW w:w="1350" w:type="dxa"/>
            <w:vAlign w:val="center"/>
          </w:tcPr>
          <w:p w14:paraId="4E98A641">
            <w:pPr>
              <w:spacing w:line="320" w:lineRule="atLeast"/>
              <w:jc w:val="center"/>
              <w:rPr>
                <w:rFonts w:ascii="宋体" w:hAnsi="宋体" w:cs="Arial"/>
                <w:kern w:val="0"/>
                <w:szCs w:val="21"/>
              </w:rPr>
            </w:pPr>
          </w:p>
        </w:tc>
      </w:tr>
      <w:tr w14:paraId="0F6E7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0FA3DF20">
            <w:pPr>
              <w:widowControl/>
              <w:jc w:val="center"/>
              <w:rPr>
                <w:rFonts w:ascii="宋体" w:hAnsi="宋体" w:cs="Arial"/>
                <w:kern w:val="0"/>
                <w:szCs w:val="21"/>
              </w:rPr>
            </w:pPr>
          </w:p>
        </w:tc>
        <w:tc>
          <w:tcPr>
            <w:tcW w:w="855" w:type="dxa"/>
            <w:vAlign w:val="center"/>
          </w:tcPr>
          <w:p w14:paraId="1CB38C25">
            <w:pPr>
              <w:widowControl/>
              <w:spacing w:line="320" w:lineRule="exact"/>
              <w:jc w:val="center"/>
              <w:rPr>
                <w:rFonts w:ascii="宋体" w:hAnsi="宋体" w:cs="Arial"/>
                <w:kern w:val="0"/>
                <w:szCs w:val="21"/>
              </w:rPr>
            </w:pPr>
          </w:p>
        </w:tc>
        <w:tc>
          <w:tcPr>
            <w:tcW w:w="1422" w:type="dxa"/>
            <w:vAlign w:val="center"/>
          </w:tcPr>
          <w:p w14:paraId="2F141FCA">
            <w:pPr>
              <w:spacing w:line="320" w:lineRule="atLeast"/>
              <w:jc w:val="center"/>
              <w:rPr>
                <w:rFonts w:ascii="宋体" w:hAnsi="宋体" w:cs="Arial"/>
                <w:kern w:val="0"/>
                <w:szCs w:val="21"/>
              </w:rPr>
            </w:pPr>
          </w:p>
        </w:tc>
        <w:tc>
          <w:tcPr>
            <w:tcW w:w="1773" w:type="dxa"/>
            <w:vAlign w:val="center"/>
          </w:tcPr>
          <w:p w14:paraId="321452A3">
            <w:pPr>
              <w:spacing w:line="320" w:lineRule="atLeast"/>
              <w:jc w:val="center"/>
              <w:rPr>
                <w:rFonts w:ascii="宋体" w:hAnsi="宋体" w:cs="Arial"/>
                <w:kern w:val="0"/>
                <w:szCs w:val="21"/>
              </w:rPr>
            </w:pPr>
          </w:p>
        </w:tc>
        <w:tc>
          <w:tcPr>
            <w:tcW w:w="1407" w:type="dxa"/>
            <w:vAlign w:val="center"/>
          </w:tcPr>
          <w:p w14:paraId="50B31147">
            <w:pPr>
              <w:spacing w:line="320" w:lineRule="exact"/>
              <w:jc w:val="center"/>
              <w:rPr>
                <w:rFonts w:ascii="宋体" w:hAnsi="宋体" w:cs="Arial"/>
                <w:kern w:val="0"/>
                <w:szCs w:val="21"/>
              </w:rPr>
            </w:pPr>
          </w:p>
        </w:tc>
        <w:tc>
          <w:tcPr>
            <w:tcW w:w="1608" w:type="dxa"/>
            <w:vAlign w:val="center"/>
          </w:tcPr>
          <w:p w14:paraId="00AAB760">
            <w:pPr>
              <w:spacing w:line="320" w:lineRule="exact"/>
              <w:jc w:val="center"/>
              <w:rPr>
                <w:rFonts w:ascii="宋体" w:hAnsi="宋体" w:cs="Arial"/>
                <w:kern w:val="0"/>
                <w:szCs w:val="21"/>
              </w:rPr>
            </w:pPr>
          </w:p>
        </w:tc>
        <w:tc>
          <w:tcPr>
            <w:tcW w:w="1350" w:type="dxa"/>
            <w:vAlign w:val="center"/>
          </w:tcPr>
          <w:p w14:paraId="3049848A">
            <w:pPr>
              <w:spacing w:line="320" w:lineRule="atLeast"/>
              <w:jc w:val="center"/>
              <w:rPr>
                <w:rFonts w:ascii="宋体" w:hAnsi="宋体" w:cs="Arial"/>
                <w:kern w:val="0"/>
                <w:szCs w:val="21"/>
              </w:rPr>
            </w:pPr>
          </w:p>
        </w:tc>
      </w:tr>
      <w:tr w14:paraId="0ACA5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1B046EBD">
            <w:pPr>
              <w:widowControl/>
              <w:jc w:val="center"/>
              <w:rPr>
                <w:rFonts w:ascii="宋体" w:hAnsi="宋体" w:cs="Arial"/>
                <w:kern w:val="0"/>
                <w:szCs w:val="21"/>
              </w:rPr>
            </w:pPr>
          </w:p>
        </w:tc>
        <w:tc>
          <w:tcPr>
            <w:tcW w:w="855" w:type="dxa"/>
            <w:vAlign w:val="center"/>
          </w:tcPr>
          <w:p w14:paraId="14190BD6">
            <w:pPr>
              <w:widowControl/>
              <w:spacing w:line="320" w:lineRule="exact"/>
              <w:jc w:val="center"/>
              <w:rPr>
                <w:rFonts w:ascii="宋体" w:hAnsi="宋体" w:cs="Arial"/>
                <w:kern w:val="0"/>
                <w:szCs w:val="21"/>
              </w:rPr>
            </w:pPr>
          </w:p>
        </w:tc>
        <w:tc>
          <w:tcPr>
            <w:tcW w:w="1422" w:type="dxa"/>
            <w:vAlign w:val="center"/>
          </w:tcPr>
          <w:p w14:paraId="1FE7D14C">
            <w:pPr>
              <w:spacing w:line="320" w:lineRule="atLeast"/>
              <w:jc w:val="center"/>
              <w:rPr>
                <w:rFonts w:ascii="宋体" w:hAnsi="宋体" w:cs="Arial"/>
                <w:kern w:val="0"/>
                <w:szCs w:val="21"/>
              </w:rPr>
            </w:pPr>
          </w:p>
        </w:tc>
        <w:tc>
          <w:tcPr>
            <w:tcW w:w="1773" w:type="dxa"/>
            <w:vAlign w:val="center"/>
          </w:tcPr>
          <w:p w14:paraId="1B550373">
            <w:pPr>
              <w:spacing w:line="320" w:lineRule="atLeast"/>
              <w:jc w:val="center"/>
              <w:rPr>
                <w:rFonts w:ascii="宋体" w:hAnsi="宋体" w:cs="Arial"/>
                <w:kern w:val="0"/>
                <w:szCs w:val="21"/>
              </w:rPr>
            </w:pPr>
          </w:p>
        </w:tc>
        <w:tc>
          <w:tcPr>
            <w:tcW w:w="1407" w:type="dxa"/>
            <w:vAlign w:val="center"/>
          </w:tcPr>
          <w:p w14:paraId="277222C4">
            <w:pPr>
              <w:spacing w:line="320" w:lineRule="exact"/>
              <w:jc w:val="center"/>
              <w:rPr>
                <w:rFonts w:ascii="宋体" w:hAnsi="宋体" w:cs="Arial"/>
                <w:kern w:val="0"/>
                <w:szCs w:val="21"/>
              </w:rPr>
            </w:pPr>
          </w:p>
        </w:tc>
        <w:tc>
          <w:tcPr>
            <w:tcW w:w="1608" w:type="dxa"/>
            <w:vAlign w:val="center"/>
          </w:tcPr>
          <w:p w14:paraId="60AC7C13">
            <w:pPr>
              <w:spacing w:line="320" w:lineRule="exact"/>
              <w:jc w:val="center"/>
              <w:rPr>
                <w:rFonts w:ascii="宋体" w:hAnsi="宋体" w:cs="Arial"/>
                <w:kern w:val="0"/>
                <w:szCs w:val="21"/>
              </w:rPr>
            </w:pPr>
          </w:p>
        </w:tc>
        <w:tc>
          <w:tcPr>
            <w:tcW w:w="1350" w:type="dxa"/>
            <w:vAlign w:val="center"/>
          </w:tcPr>
          <w:p w14:paraId="5420D64E">
            <w:pPr>
              <w:spacing w:line="320" w:lineRule="atLeast"/>
              <w:jc w:val="center"/>
              <w:rPr>
                <w:rFonts w:ascii="宋体" w:hAnsi="宋体" w:cs="Arial"/>
                <w:kern w:val="0"/>
                <w:szCs w:val="21"/>
              </w:rPr>
            </w:pPr>
          </w:p>
        </w:tc>
      </w:tr>
      <w:tr w14:paraId="035E8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0F9E3CBC">
            <w:pPr>
              <w:widowControl/>
              <w:jc w:val="center"/>
              <w:rPr>
                <w:rFonts w:ascii="宋体" w:hAnsi="宋体" w:cs="Arial"/>
                <w:kern w:val="0"/>
                <w:szCs w:val="21"/>
              </w:rPr>
            </w:pPr>
          </w:p>
        </w:tc>
        <w:tc>
          <w:tcPr>
            <w:tcW w:w="855" w:type="dxa"/>
            <w:vAlign w:val="center"/>
          </w:tcPr>
          <w:p w14:paraId="448CB823">
            <w:pPr>
              <w:widowControl/>
              <w:spacing w:line="320" w:lineRule="exact"/>
              <w:jc w:val="center"/>
              <w:rPr>
                <w:rFonts w:ascii="宋体" w:hAnsi="宋体" w:cs="Arial"/>
                <w:kern w:val="0"/>
                <w:szCs w:val="21"/>
              </w:rPr>
            </w:pPr>
          </w:p>
        </w:tc>
        <w:tc>
          <w:tcPr>
            <w:tcW w:w="1422" w:type="dxa"/>
            <w:vAlign w:val="center"/>
          </w:tcPr>
          <w:p w14:paraId="6580E743">
            <w:pPr>
              <w:spacing w:line="320" w:lineRule="atLeast"/>
              <w:jc w:val="center"/>
              <w:rPr>
                <w:rFonts w:ascii="宋体" w:hAnsi="宋体" w:cs="Arial"/>
                <w:kern w:val="0"/>
                <w:szCs w:val="21"/>
              </w:rPr>
            </w:pPr>
          </w:p>
        </w:tc>
        <w:tc>
          <w:tcPr>
            <w:tcW w:w="1773" w:type="dxa"/>
            <w:vAlign w:val="center"/>
          </w:tcPr>
          <w:p w14:paraId="1D34D94C">
            <w:pPr>
              <w:spacing w:line="320" w:lineRule="atLeast"/>
              <w:jc w:val="center"/>
              <w:rPr>
                <w:rFonts w:ascii="宋体" w:hAnsi="宋体" w:cs="Arial"/>
                <w:kern w:val="0"/>
                <w:szCs w:val="21"/>
              </w:rPr>
            </w:pPr>
          </w:p>
        </w:tc>
        <w:tc>
          <w:tcPr>
            <w:tcW w:w="1407" w:type="dxa"/>
            <w:vAlign w:val="center"/>
          </w:tcPr>
          <w:p w14:paraId="0F80F7ED">
            <w:pPr>
              <w:spacing w:line="320" w:lineRule="exact"/>
              <w:jc w:val="center"/>
              <w:rPr>
                <w:rFonts w:ascii="宋体" w:hAnsi="宋体" w:cs="Arial"/>
                <w:kern w:val="0"/>
                <w:szCs w:val="21"/>
              </w:rPr>
            </w:pPr>
          </w:p>
        </w:tc>
        <w:tc>
          <w:tcPr>
            <w:tcW w:w="1608" w:type="dxa"/>
            <w:vAlign w:val="center"/>
          </w:tcPr>
          <w:p w14:paraId="61B4053B">
            <w:pPr>
              <w:spacing w:line="320" w:lineRule="exact"/>
              <w:jc w:val="center"/>
              <w:rPr>
                <w:rFonts w:ascii="宋体" w:hAnsi="宋体" w:cs="Arial"/>
                <w:kern w:val="0"/>
                <w:szCs w:val="21"/>
              </w:rPr>
            </w:pPr>
          </w:p>
        </w:tc>
        <w:tc>
          <w:tcPr>
            <w:tcW w:w="1350" w:type="dxa"/>
            <w:vAlign w:val="center"/>
          </w:tcPr>
          <w:p w14:paraId="523982DF">
            <w:pPr>
              <w:spacing w:line="320" w:lineRule="atLeast"/>
              <w:jc w:val="center"/>
              <w:rPr>
                <w:rFonts w:ascii="宋体" w:hAnsi="宋体" w:cs="Arial"/>
                <w:kern w:val="0"/>
                <w:szCs w:val="21"/>
              </w:rPr>
            </w:pPr>
          </w:p>
        </w:tc>
      </w:tr>
      <w:tr w14:paraId="7BECE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5C96D2F5">
            <w:pPr>
              <w:widowControl/>
              <w:jc w:val="center"/>
              <w:rPr>
                <w:rFonts w:ascii="宋体" w:hAnsi="宋体" w:cs="Arial"/>
                <w:kern w:val="0"/>
                <w:szCs w:val="21"/>
              </w:rPr>
            </w:pPr>
          </w:p>
        </w:tc>
        <w:tc>
          <w:tcPr>
            <w:tcW w:w="855" w:type="dxa"/>
            <w:vAlign w:val="center"/>
          </w:tcPr>
          <w:p w14:paraId="2127F897">
            <w:pPr>
              <w:widowControl/>
              <w:spacing w:line="320" w:lineRule="exact"/>
              <w:jc w:val="center"/>
              <w:rPr>
                <w:rFonts w:ascii="宋体" w:hAnsi="宋体" w:cs="Arial"/>
                <w:kern w:val="0"/>
                <w:szCs w:val="21"/>
              </w:rPr>
            </w:pPr>
          </w:p>
        </w:tc>
        <w:tc>
          <w:tcPr>
            <w:tcW w:w="1422" w:type="dxa"/>
            <w:vAlign w:val="center"/>
          </w:tcPr>
          <w:p w14:paraId="15788ECD">
            <w:pPr>
              <w:spacing w:line="320" w:lineRule="atLeast"/>
              <w:jc w:val="center"/>
              <w:rPr>
                <w:rFonts w:ascii="宋体" w:hAnsi="宋体" w:cs="Arial"/>
                <w:kern w:val="0"/>
                <w:szCs w:val="21"/>
              </w:rPr>
            </w:pPr>
          </w:p>
        </w:tc>
        <w:tc>
          <w:tcPr>
            <w:tcW w:w="1773" w:type="dxa"/>
            <w:vAlign w:val="center"/>
          </w:tcPr>
          <w:p w14:paraId="4D0B0F0F">
            <w:pPr>
              <w:spacing w:line="320" w:lineRule="atLeast"/>
              <w:jc w:val="center"/>
              <w:rPr>
                <w:rFonts w:ascii="宋体" w:hAnsi="宋体" w:cs="Arial"/>
                <w:kern w:val="0"/>
                <w:szCs w:val="21"/>
              </w:rPr>
            </w:pPr>
          </w:p>
        </w:tc>
        <w:tc>
          <w:tcPr>
            <w:tcW w:w="1407" w:type="dxa"/>
            <w:vAlign w:val="center"/>
          </w:tcPr>
          <w:p w14:paraId="3C4DA251">
            <w:pPr>
              <w:spacing w:line="320" w:lineRule="exact"/>
              <w:jc w:val="center"/>
              <w:rPr>
                <w:rFonts w:ascii="宋体" w:hAnsi="宋体" w:cs="Arial"/>
                <w:kern w:val="0"/>
                <w:szCs w:val="21"/>
              </w:rPr>
            </w:pPr>
          </w:p>
        </w:tc>
        <w:tc>
          <w:tcPr>
            <w:tcW w:w="1608" w:type="dxa"/>
            <w:vAlign w:val="center"/>
          </w:tcPr>
          <w:p w14:paraId="0958DE89">
            <w:pPr>
              <w:spacing w:line="320" w:lineRule="exact"/>
              <w:jc w:val="center"/>
              <w:rPr>
                <w:rFonts w:ascii="宋体" w:hAnsi="宋体" w:cs="Arial"/>
                <w:kern w:val="0"/>
                <w:szCs w:val="21"/>
              </w:rPr>
            </w:pPr>
          </w:p>
        </w:tc>
        <w:tc>
          <w:tcPr>
            <w:tcW w:w="1350" w:type="dxa"/>
            <w:vAlign w:val="center"/>
          </w:tcPr>
          <w:p w14:paraId="315DF0D5">
            <w:pPr>
              <w:spacing w:line="320" w:lineRule="atLeast"/>
              <w:jc w:val="center"/>
              <w:rPr>
                <w:rFonts w:ascii="宋体" w:hAnsi="宋体" w:cs="Arial"/>
                <w:kern w:val="0"/>
                <w:szCs w:val="21"/>
              </w:rPr>
            </w:pPr>
          </w:p>
        </w:tc>
      </w:tr>
      <w:tr w14:paraId="2795F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4A0CF399">
            <w:pPr>
              <w:widowControl/>
              <w:jc w:val="center"/>
              <w:rPr>
                <w:rFonts w:ascii="宋体" w:hAnsi="宋体" w:cs="Arial"/>
                <w:kern w:val="0"/>
                <w:szCs w:val="21"/>
              </w:rPr>
            </w:pPr>
          </w:p>
          <w:p w14:paraId="6DEA0414">
            <w:pPr>
              <w:widowControl/>
              <w:jc w:val="center"/>
              <w:rPr>
                <w:rFonts w:ascii="宋体" w:hAnsi="宋体" w:cs="Arial"/>
                <w:kern w:val="0"/>
                <w:szCs w:val="21"/>
              </w:rPr>
            </w:pPr>
          </w:p>
        </w:tc>
        <w:tc>
          <w:tcPr>
            <w:tcW w:w="855" w:type="dxa"/>
            <w:vAlign w:val="center"/>
          </w:tcPr>
          <w:p w14:paraId="45AB68C1">
            <w:pPr>
              <w:widowControl/>
              <w:spacing w:line="320" w:lineRule="exact"/>
              <w:jc w:val="center"/>
              <w:rPr>
                <w:rFonts w:ascii="宋体" w:hAnsi="宋体" w:cs="Arial"/>
                <w:kern w:val="0"/>
                <w:szCs w:val="21"/>
              </w:rPr>
            </w:pPr>
          </w:p>
        </w:tc>
        <w:tc>
          <w:tcPr>
            <w:tcW w:w="1422" w:type="dxa"/>
            <w:vAlign w:val="center"/>
          </w:tcPr>
          <w:p w14:paraId="5BDE86C2">
            <w:pPr>
              <w:spacing w:line="320" w:lineRule="atLeast"/>
              <w:jc w:val="center"/>
              <w:rPr>
                <w:rFonts w:ascii="宋体" w:hAnsi="宋体" w:cs="Arial"/>
                <w:kern w:val="0"/>
                <w:szCs w:val="21"/>
              </w:rPr>
            </w:pPr>
          </w:p>
        </w:tc>
        <w:tc>
          <w:tcPr>
            <w:tcW w:w="1773" w:type="dxa"/>
            <w:vAlign w:val="center"/>
          </w:tcPr>
          <w:p w14:paraId="02E4A7BB">
            <w:pPr>
              <w:spacing w:line="320" w:lineRule="atLeast"/>
              <w:jc w:val="center"/>
              <w:rPr>
                <w:rFonts w:ascii="宋体" w:hAnsi="宋体" w:cs="Arial"/>
                <w:kern w:val="0"/>
                <w:szCs w:val="21"/>
              </w:rPr>
            </w:pPr>
          </w:p>
        </w:tc>
        <w:tc>
          <w:tcPr>
            <w:tcW w:w="1407" w:type="dxa"/>
            <w:vAlign w:val="center"/>
          </w:tcPr>
          <w:p w14:paraId="19036FF3">
            <w:pPr>
              <w:spacing w:line="320" w:lineRule="exact"/>
              <w:jc w:val="center"/>
              <w:rPr>
                <w:rFonts w:ascii="宋体" w:hAnsi="宋体" w:cs="Arial"/>
                <w:kern w:val="0"/>
                <w:szCs w:val="21"/>
              </w:rPr>
            </w:pPr>
          </w:p>
        </w:tc>
        <w:tc>
          <w:tcPr>
            <w:tcW w:w="1608" w:type="dxa"/>
            <w:vAlign w:val="center"/>
          </w:tcPr>
          <w:p w14:paraId="33EA8DE7">
            <w:pPr>
              <w:spacing w:line="320" w:lineRule="exact"/>
              <w:jc w:val="center"/>
              <w:rPr>
                <w:rFonts w:ascii="宋体" w:hAnsi="宋体" w:cs="Arial"/>
                <w:kern w:val="0"/>
                <w:szCs w:val="21"/>
              </w:rPr>
            </w:pPr>
          </w:p>
        </w:tc>
        <w:tc>
          <w:tcPr>
            <w:tcW w:w="1350" w:type="dxa"/>
            <w:vAlign w:val="center"/>
          </w:tcPr>
          <w:p w14:paraId="4852B27B">
            <w:pPr>
              <w:spacing w:line="320" w:lineRule="atLeast"/>
              <w:jc w:val="center"/>
              <w:rPr>
                <w:rFonts w:ascii="宋体" w:hAnsi="宋体" w:cs="Arial"/>
                <w:kern w:val="0"/>
                <w:szCs w:val="21"/>
              </w:rPr>
            </w:pPr>
          </w:p>
        </w:tc>
      </w:tr>
      <w:tr w14:paraId="15D5B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3E5212AE">
            <w:pPr>
              <w:widowControl/>
              <w:jc w:val="center"/>
              <w:rPr>
                <w:rFonts w:ascii="宋体" w:hAnsi="宋体" w:cs="Arial"/>
                <w:kern w:val="0"/>
                <w:szCs w:val="21"/>
              </w:rPr>
            </w:pPr>
          </w:p>
        </w:tc>
        <w:tc>
          <w:tcPr>
            <w:tcW w:w="855" w:type="dxa"/>
            <w:vAlign w:val="center"/>
          </w:tcPr>
          <w:p w14:paraId="6DA3740D">
            <w:pPr>
              <w:widowControl/>
              <w:spacing w:line="320" w:lineRule="exact"/>
              <w:jc w:val="center"/>
              <w:rPr>
                <w:rFonts w:ascii="宋体" w:hAnsi="宋体" w:cs="Arial"/>
                <w:kern w:val="0"/>
                <w:szCs w:val="21"/>
              </w:rPr>
            </w:pPr>
          </w:p>
        </w:tc>
        <w:tc>
          <w:tcPr>
            <w:tcW w:w="1422" w:type="dxa"/>
            <w:vAlign w:val="center"/>
          </w:tcPr>
          <w:p w14:paraId="32A80492">
            <w:pPr>
              <w:spacing w:line="320" w:lineRule="atLeast"/>
              <w:jc w:val="center"/>
              <w:rPr>
                <w:rFonts w:ascii="宋体" w:hAnsi="宋体" w:cs="Arial"/>
                <w:kern w:val="0"/>
                <w:szCs w:val="21"/>
              </w:rPr>
            </w:pPr>
          </w:p>
        </w:tc>
        <w:tc>
          <w:tcPr>
            <w:tcW w:w="1773" w:type="dxa"/>
            <w:vAlign w:val="center"/>
          </w:tcPr>
          <w:p w14:paraId="72C4139A">
            <w:pPr>
              <w:spacing w:line="320" w:lineRule="atLeast"/>
              <w:jc w:val="center"/>
              <w:rPr>
                <w:rFonts w:ascii="宋体" w:hAnsi="宋体" w:cs="Arial"/>
                <w:kern w:val="0"/>
                <w:szCs w:val="21"/>
              </w:rPr>
            </w:pPr>
          </w:p>
        </w:tc>
        <w:tc>
          <w:tcPr>
            <w:tcW w:w="1407" w:type="dxa"/>
            <w:vAlign w:val="center"/>
          </w:tcPr>
          <w:p w14:paraId="6730EE7C">
            <w:pPr>
              <w:spacing w:line="320" w:lineRule="exact"/>
              <w:jc w:val="center"/>
              <w:rPr>
                <w:rFonts w:ascii="宋体" w:hAnsi="宋体" w:cs="Arial"/>
                <w:kern w:val="0"/>
                <w:szCs w:val="21"/>
              </w:rPr>
            </w:pPr>
          </w:p>
        </w:tc>
        <w:tc>
          <w:tcPr>
            <w:tcW w:w="1608" w:type="dxa"/>
            <w:vAlign w:val="center"/>
          </w:tcPr>
          <w:p w14:paraId="5B39E87B">
            <w:pPr>
              <w:spacing w:line="320" w:lineRule="exact"/>
              <w:jc w:val="center"/>
              <w:rPr>
                <w:rFonts w:ascii="宋体" w:hAnsi="宋体" w:cs="Arial"/>
                <w:kern w:val="0"/>
                <w:szCs w:val="21"/>
              </w:rPr>
            </w:pPr>
          </w:p>
        </w:tc>
        <w:tc>
          <w:tcPr>
            <w:tcW w:w="1350" w:type="dxa"/>
            <w:vAlign w:val="center"/>
          </w:tcPr>
          <w:p w14:paraId="5798A3EE">
            <w:pPr>
              <w:spacing w:line="320" w:lineRule="atLeast"/>
              <w:jc w:val="center"/>
              <w:rPr>
                <w:rFonts w:ascii="宋体" w:hAnsi="宋体" w:cs="Arial"/>
                <w:kern w:val="0"/>
                <w:szCs w:val="21"/>
              </w:rPr>
            </w:pPr>
          </w:p>
        </w:tc>
      </w:tr>
      <w:tr w14:paraId="50773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428815C4">
            <w:pPr>
              <w:widowControl/>
              <w:jc w:val="center"/>
              <w:rPr>
                <w:rFonts w:ascii="宋体" w:hAnsi="宋体" w:cs="Arial"/>
                <w:kern w:val="0"/>
                <w:szCs w:val="21"/>
              </w:rPr>
            </w:pPr>
          </w:p>
        </w:tc>
        <w:tc>
          <w:tcPr>
            <w:tcW w:w="855" w:type="dxa"/>
            <w:vAlign w:val="center"/>
          </w:tcPr>
          <w:p w14:paraId="79B7E2BB">
            <w:pPr>
              <w:widowControl/>
              <w:spacing w:line="320" w:lineRule="exact"/>
              <w:jc w:val="center"/>
              <w:rPr>
                <w:rFonts w:ascii="宋体" w:hAnsi="宋体" w:cs="Arial"/>
                <w:kern w:val="0"/>
                <w:szCs w:val="21"/>
              </w:rPr>
            </w:pPr>
          </w:p>
        </w:tc>
        <w:tc>
          <w:tcPr>
            <w:tcW w:w="1422" w:type="dxa"/>
            <w:vAlign w:val="center"/>
          </w:tcPr>
          <w:p w14:paraId="1E821AAB">
            <w:pPr>
              <w:spacing w:line="320" w:lineRule="atLeast"/>
              <w:jc w:val="center"/>
              <w:rPr>
                <w:rFonts w:ascii="宋体" w:hAnsi="宋体" w:cs="Arial"/>
                <w:kern w:val="0"/>
                <w:szCs w:val="21"/>
              </w:rPr>
            </w:pPr>
          </w:p>
        </w:tc>
        <w:tc>
          <w:tcPr>
            <w:tcW w:w="1773" w:type="dxa"/>
            <w:vAlign w:val="center"/>
          </w:tcPr>
          <w:p w14:paraId="0045D9FB">
            <w:pPr>
              <w:spacing w:line="320" w:lineRule="atLeast"/>
              <w:jc w:val="center"/>
              <w:rPr>
                <w:rFonts w:ascii="宋体" w:hAnsi="宋体" w:cs="Arial"/>
                <w:kern w:val="0"/>
                <w:szCs w:val="21"/>
              </w:rPr>
            </w:pPr>
          </w:p>
        </w:tc>
        <w:tc>
          <w:tcPr>
            <w:tcW w:w="1407" w:type="dxa"/>
            <w:vAlign w:val="center"/>
          </w:tcPr>
          <w:p w14:paraId="12C82D15">
            <w:pPr>
              <w:spacing w:line="320" w:lineRule="exact"/>
              <w:jc w:val="center"/>
              <w:rPr>
                <w:rFonts w:ascii="宋体" w:hAnsi="宋体" w:cs="Arial"/>
                <w:kern w:val="0"/>
                <w:szCs w:val="21"/>
              </w:rPr>
            </w:pPr>
          </w:p>
        </w:tc>
        <w:tc>
          <w:tcPr>
            <w:tcW w:w="1608" w:type="dxa"/>
            <w:vAlign w:val="center"/>
          </w:tcPr>
          <w:p w14:paraId="24762944">
            <w:pPr>
              <w:spacing w:line="320" w:lineRule="exact"/>
              <w:jc w:val="center"/>
              <w:rPr>
                <w:rFonts w:ascii="宋体" w:hAnsi="宋体" w:cs="Arial"/>
                <w:kern w:val="0"/>
                <w:szCs w:val="21"/>
              </w:rPr>
            </w:pPr>
          </w:p>
        </w:tc>
        <w:tc>
          <w:tcPr>
            <w:tcW w:w="1350" w:type="dxa"/>
            <w:vAlign w:val="center"/>
          </w:tcPr>
          <w:p w14:paraId="6419E51B">
            <w:pPr>
              <w:spacing w:line="320" w:lineRule="atLeast"/>
              <w:jc w:val="center"/>
              <w:rPr>
                <w:rFonts w:ascii="宋体" w:hAnsi="宋体" w:cs="Arial"/>
                <w:kern w:val="0"/>
                <w:szCs w:val="21"/>
              </w:rPr>
            </w:pPr>
          </w:p>
        </w:tc>
      </w:tr>
      <w:tr w14:paraId="40041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42" w:type="dxa"/>
            <w:vAlign w:val="center"/>
          </w:tcPr>
          <w:p w14:paraId="07F3DEB5">
            <w:pPr>
              <w:widowControl/>
              <w:jc w:val="center"/>
              <w:rPr>
                <w:rFonts w:ascii="宋体" w:hAnsi="宋体" w:cs="Arial"/>
                <w:kern w:val="0"/>
                <w:szCs w:val="21"/>
              </w:rPr>
            </w:pPr>
          </w:p>
        </w:tc>
        <w:tc>
          <w:tcPr>
            <w:tcW w:w="855" w:type="dxa"/>
            <w:vAlign w:val="center"/>
          </w:tcPr>
          <w:p w14:paraId="31B37B8E">
            <w:pPr>
              <w:widowControl/>
              <w:spacing w:line="320" w:lineRule="exact"/>
              <w:jc w:val="center"/>
              <w:rPr>
                <w:rFonts w:ascii="宋体" w:hAnsi="宋体" w:cs="Arial"/>
                <w:kern w:val="0"/>
                <w:szCs w:val="21"/>
              </w:rPr>
            </w:pPr>
          </w:p>
        </w:tc>
        <w:tc>
          <w:tcPr>
            <w:tcW w:w="1422" w:type="dxa"/>
            <w:vAlign w:val="center"/>
          </w:tcPr>
          <w:p w14:paraId="4D97BA19">
            <w:pPr>
              <w:spacing w:line="320" w:lineRule="atLeast"/>
              <w:jc w:val="center"/>
              <w:rPr>
                <w:rFonts w:ascii="宋体" w:hAnsi="宋体" w:cs="Arial"/>
                <w:kern w:val="0"/>
                <w:szCs w:val="21"/>
              </w:rPr>
            </w:pPr>
          </w:p>
        </w:tc>
        <w:tc>
          <w:tcPr>
            <w:tcW w:w="1773" w:type="dxa"/>
            <w:vAlign w:val="center"/>
          </w:tcPr>
          <w:p w14:paraId="50CB1DCF">
            <w:pPr>
              <w:spacing w:line="320" w:lineRule="atLeast"/>
              <w:jc w:val="center"/>
              <w:rPr>
                <w:rFonts w:ascii="宋体" w:hAnsi="宋体" w:cs="Arial"/>
                <w:kern w:val="0"/>
                <w:szCs w:val="21"/>
              </w:rPr>
            </w:pPr>
          </w:p>
        </w:tc>
        <w:tc>
          <w:tcPr>
            <w:tcW w:w="1407" w:type="dxa"/>
            <w:vAlign w:val="center"/>
          </w:tcPr>
          <w:p w14:paraId="1B43680A">
            <w:pPr>
              <w:spacing w:line="320" w:lineRule="exact"/>
              <w:jc w:val="center"/>
              <w:rPr>
                <w:rFonts w:ascii="宋体" w:hAnsi="宋体" w:cs="Arial"/>
                <w:kern w:val="0"/>
                <w:szCs w:val="21"/>
              </w:rPr>
            </w:pPr>
          </w:p>
        </w:tc>
        <w:tc>
          <w:tcPr>
            <w:tcW w:w="1608" w:type="dxa"/>
            <w:vAlign w:val="center"/>
          </w:tcPr>
          <w:p w14:paraId="03FB194F">
            <w:pPr>
              <w:spacing w:line="320" w:lineRule="exact"/>
              <w:jc w:val="center"/>
              <w:rPr>
                <w:rFonts w:ascii="宋体" w:hAnsi="宋体" w:cs="Arial"/>
                <w:kern w:val="0"/>
                <w:szCs w:val="21"/>
              </w:rPr>
            </w:pPr>
          </w:p>
        </w:tc>
        <w:tc>
          <w:tcPr>
            <w:tcW w:w="1350" w:type="dxa"/>
            <w:vAlign w:val="center"/>
          </w:tcPr>
          <w:p w14:paraId="53069EB9">
            <w:pPr>
              <w:spacing w:line="320" w:lineRule="atLeast"/>
              <w:jc w:val="center"/>
              <w:rPr>
                <w:rFonts w:ascii="宋体" w:hAnsi="宋体" w:cs="Arial"/>
                <w:kern w:val="0"/>
                <w:szCs w:val="21"/>
              </w:rPr>
            </w:pPr>
          </w:p>
        </w:tc>
      </w:tr>
    </w:tbl>
    <w:p w14:paraId="777844DC">
      <w:pPr>
        <w:spacing w:line="440" w:lineRule="exact"/>
        <w:ind w:firstLine="480" w:firstLineChars="200"/>
        <w:rPr>
          <w:rFonts w:ascii="宋体" w:hAnsi="宋体" w:cs="宋体"/>
          <w:sz w:val="24"/>
        </w:rPr>
      </w:pPr>
    </w:p>
    <w:p w14:paraId="5BF69E43">
      <w:pPr>
        <w:pStyle w:val="125"/>
        <w:tabs>
          <w:tab w:val="left" w:pos="5665"/>
          <w:tab w:val="right" w:pos="8360"/>
        </w:tabs>
        <w:spacing w:line="360" w:lineRule="auto"/>
        <w:ind w:right="42" w:firstLine="1560" w:firstLineChars="650"/>
        <w:rPr>
          <w:rFonts w:hAnsi="宋体" w:cs="宋体"/>
          <w:sz w:val="24"/>
          <w:u w:val="single"/>
        </w:rPr>
      </w:pPr>
      <w:r>
        <w:rPr>
          <w:rFonts w:hint="eastAsia" w:hAnsi="宋体" w:cs="宋体"/>
          <w:sz w:val="24"/>
        </w:rPr>
        <w:t>投标人(公章)：</w:t>
      </w:r>
      <w:r>
        <w:rPr>
          <w:rFonts w:hint="eastAsia" w:hAnsi="宋体" w:cs="宋体"/>
          <w:sz w:val="24"/>
          <w:u w:val="single"/>
        </w:rPr>
        <w:t xml:space="preserve">                                  </w:t>
      </w:r>
    </w:p>
    <w:p w14:paraId="1F225160">
      <w:pPr>
        <w:pStyle w:val="125"/>
        <w:tabs>
          <w:tab w:val="left" w:pos="5665"/>
          <w:tab w:val="right" w:pos="8360"/>
        </w:tabs>
        <w:spacing w:line="360" w:lineRule="auto"/>
        <w:ind w:right="42"/>
        <w:rPr>
          <w:rFonts w:hAnsi="宋体" w:cs="宋体"/>
          <w:sz w:val="24"/>
          <w:u w:val="single"/>
        </w:rPr>
      </w:pPr>
    </w:p>
    <w:p w14:paraId="02988BF9">
      <w:pPr>
        <w:pStyle w:val="125"/>
        <w:tabs>
          <w:tab w:val="left" w:pos="5665"/>
          <w:tab w:val="right" w:pos="8360"/>
        </w:tabs>
        <w:spacing w:line="360" w:lineRule="auto"/>
        <w:ind w:right="42" w:firstLine="1560" w:firstLineChars="650"/>
        <w:rPr>
          <w:rFonts w:hAnsi="宋体" w:cs="宋体"/>
          <w:sz w:val="24"/>
          <w:u w:val="single"/>
        </w:rPr>
      </w:pPr>
      <w:r>
        <w:rPr>
          <w:rFonts w:hint="eastAsia" w:hAnsi="宋体" w:cs="宋体"/>
          <w:sz w:val="24"/>
        </w:rPr>
        <w:t>法定代表人或委托代理人（签字或印章）：</w:t>
      </w:r>
      <w:r>
        <w:rPr>
          <w:rFonts w:hint="eastAsia" w:hAnsi="宋体" w:cs="宋体"/>
          <w:sz w:val="24"/>
          <w:u w:val="single"/>
        </w:rPr>
        <w:t xml:space="preserve">             </w:t>
      </w:r>
    </w:p>
    <w:p w14:paraId="313E767F">
      <w:pPr>
        <w:pStyle w:val="125"/>
        <w:tabs>
          <w:tab w:val="left" w:pos="5665"/>
          <w:tab w:val="right" w:pos="8360"/>
        </w:tabs>
        <w:spacing w:line="360" w:lineRule="auto"/>
        <w:ind w:right="42" w:firstLine="1560" w:firstLineChars="650"/>
        <w:rPr>
          <w:rFonts w:hAnsi="宋体" w:cs="宋体"/>
          <w:sz w:val="24"/>
          <w:u w:val="single"/>
        </w:rPr>
      </w:pPr>
    </w:p>
    <w:p w14:paraId="4454B1F7">
      <w:pPr>
        <w:pStyle w:val="125"/>
        <w:tabs>
          <w:tab w:val="left" w:pos="5665"/>
          <w:tab w:val="right" w:pos="8360"/>
        </w:tabs>
        <w:spacing w:line="360" w:lineRule="auto"/>
        <w:ind w:right="42" w:firstLine="1575" w:firstLineChars="750"/>
        <w:jc w:val="left"/>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14:paraId="050D4A67">
      <w:pPr>
        <w:pStyle w:val="16"/>
        <w:rPr>
          <w:rFonts w:ascii="宋体"/>
        </w:rPr>
      </w:pPr>
      <w:r>
        <w:br w:type="page"/>
      </w:r>
    </w:p>
    <w:p w14:paraId="57F07BED">
      <w:pPr>
        <w:pStyle w:val="125"/>
        <w:tabs>
          <w:tab w:val="left" w:pos="5665"/>
          <w:tab w:val="right" w:pos="8360"/>
        </w:tabs>
        <w:spacing w:line="360" w:lineRule="auto"/>
        <w:ind w:right="42" w:firstLine="1575" w:firstLineChars="750"/>
        <w:jc w:val="left"/>
        <w:rPr>
          <w:rFonts w:hAnsi="宋体" w:cs="宋体"/>
          <w:sz w:val="21"/>
          <w:szCs w:val="21"/>
          <w:u w:val="single"/>
        </w:rPr>
      </w:pPr>
    </w:p>
    <w:p w14:paraId="003C3AAF">
      <w:pPr>
        <w:jc w:val="center"/>
        <w:outlineLvl w:val="2"/>
        <w:rPr>
          <w:rFonts w:ascii="宋体" w:hAnsi="宋体"/>
          <w:b/>
          <w:sz w:val="28"/>
          <w:szCs w:val="28"/>
        </w:rPr>
      </w:pPr>
      <w:bookmarkStart w:id="573" w:name="_Toc6717"/>
      <w:bookmarkStart w:id="574" w:name="_Toc57041969"/>
      <w:bookmarkStart w:id="575" w:name="_Toc26931"/>
      <w:bookmarkStart w:id="576" w:name="_Toc21023"/>
      <w:r>
        <w:rPr>
          <w:rFonts w:ascii="宋体" w:hAnsi="宋体"/>
          <w:b/>
          <w:sz w:val="28"/>
          <w:szCs w:val="28"/>
        </w:rPr>
        <w:t>5</w:t>
      </w:r>
      <w:r>
        <w:rPr>
          <w:rFonts w:hint="eastAsia" w:ascii="宋体" w:hAnsi="宋体"/>
          <w:b/>
          <w:sz w:val="28"/>
          <w:szCs w:val="28"/>
        </w:rPr>
        <w:t>.2 为</w:t>
      </w:r>
      <w:r>
        <w:rPr>
          <w:rFonts w:ascii="宋体" w:hAnsi="宋体"/>
          <w:b/>
          <w:sz w:val="28"/>
          <w:szCs w:val="28"/>
        </w:rPr>
        <w:t>本项目</w:t>
      </w:r>
      <w:r>
        <w:rPr>
          <w:rFonts w:hint="eastAsia" w:ascii="宋体" w:hAnsi="宋体"/>
          <w:b/>
          <w:sz w:val="28"/>
          <w:szCs w:val="28"/>
        </w:rPr>
        <w:t>服务</w:t>
      </w:r>
      <w:r>
        <w:rPr>
          <w:rFonts w:ascii="宋体" w:hAnsi="宋体"/>
          <w:b/>
          <w:sz w:val="28"/>
          <w:szCs w:val="28"/>
        </w:rPr>
        <w:t>的主要人员</w:t>
      </w:r>
      <w:r>
        <w:rPr>
          <w:rFonts w:hint="eastAsia" w:ascii="宋体" w:hAnsi="宋体"/>
          <w:b/>
          <w:sz w:val="28"/>
          <w:szCs w:val="28"/>
        </w:rPr>
        <w:t>（详表，格式自拟）</w:t>
      </w:r>
      <w:bookmarkEnd w:id="573"/>
      <w:bookmarkEnd w:id="574"/>
      <w:bookmarkEnd w:id="575"/>
      <w:bookmarkEnd w:id="576"/>
    </w:p>
    <w:p w14:paraId="21A3F8E8">
      <w:pPr>
        <w:spacing w:line="400" w:lineRule="exact"/>
        <w:outlineLvl w:val="2"/>
        <w:rPr>
          <w:rFonts w:ascii="宋体" w:cs="宋体"/>
          <w:b/>
          <w:bCs/>
          <w:szCs w:val="21"/>
        </w:rPr>
      </w:pPr>
    </w:p>
    <w:p w14:paraId="2A90B201">
      <w:pPr>
        <w:spacing w:line="400" w:lineRule="exact"/>
        <w:jc w:val="center"/>
        <w:outlineLvl w:val="2"/>
        <w:rPr>
          <w:rFonts w:ascii="宋体" w:hAnsi="宋体"/>
          <w:b/>
          <w:sz w:val="28"/>
          <w:szCs w:val="28"/>
        </w:rPr>
      </w:pPr>
      <w:bookmarkStart w:id="577" w:name="_Toc57041970"/>
      <w:bookmarkStart w:id="578" w:name="_Toc4012"/>
      <w:bookmarkStart w:id="579" w:name="_Toc22478"/>
      <w:r>
        <w:rPr>
          <w:rFonts w:hint="eastAsia" w:ascii="宋体" w:cs="宋体"/>
          <w:b/>
          <w:bCs/>
          <w:sz w:val="22"/>
          <w:szCs w:val="22"/>
        </w:rPr>
        <w:t>注：</w:t>
      </w:r>
      <w:r>
        <w:rPr>
          <w:rFonts w:hint="eastAsia" w:ascii="宋体" w:cs="宋体"/>
          <w:b/>
          <w:bCs/>
          <w:sz w:val="22"/>
          <w:szCs w:val="22"/>
          <w:lang w:val="en-GB"/>
        </w:rPr>
        <w:t>附人员身份证、相应各类证书</w:t>
      </w:r>
      <w:r>
        <w:rPr>
          <w:rFonts w:hint="eastAsia" w:ascii="宋体" w:cs="宋体"/>
          <w:b/>
          <w:bCs/>
          <w:sz w:val="22"/>
          <w:szCs w:val="22"/>
        </w:rPr>
        <w:t>等。</w:t>
      </w:r>
      <w:r>
        <w:rPr>
          <w:rFonts w:ascii="宋体" w:hAnsi="宋体" w:cs="宋体"/>
          <w:b/>
          <w:bCs/>
          <w:sz w:val="32"/>
          <w:szCs w:val="28"/>
        </w:rPr>
        <w:br w:type="page"/>
      </w:r>
      <w:bookmarkEnd w:id="552"/>
      <w:bookmarkEnd w:id="553"/>
      <w:bookmarkEnd w:id="554"/>
      <w:bookmarkEnd w:id="555"/>
      <w:bookmarkEnd w:id="556"/>
      <w:bookmarkEnd w:id="557"/>
      <w:bookmarkEnd w:id="558"/>
      <w:bookmarkEnd w:id="559"/>
      <w:bookmarkEnd w:id="560"/>
      <w:bookmarkEnd w:id="577"/>
      <w:bookmarkEnd w:id="578"/>
      <w:bookmarkEnd w:id="579"/>
    </w:p>
    <w:bookmarkEnd w:id="561"/>
    <w:bookmarkEnd w:id="562"/>
    <w:bookmarkEnd w:id="563"/>
    <w:bookmarkEnd w:id="564"/>
    <w:p w14:paraId="662E846E">
      <w:pPr>
        <w:pStyle w:val="4"/>
        <w:rPr>
          <w:rFonts w:ascii="宋体" w:hAnsi="宋体" w:eastAsia="宋体"/>
        </w:rPr>
        <w:sectPr>
          <w:footerReference r:id="rId6" w:type="default"/>
          <w:type w:val="continuous"/>
          <w:pgSz w:w="11906" w:h="16838"/>
          <w:pgMar w:top="1134" w:right="1134" w:bottom="1134" w:left="1620" w:header="851" w:footer="992" w:gutter="0"/>
          <w:cols w:space="720" w:num="1"/>
          <w:docGrid w:type="lines" w:linePitch="312" w:charSpace="0"/>
        </w:sectPr>
      </w:pPr>
      <w:bookmarkStart w:id="580" w:name="_Toc1569"/>
      <w:bookmarkStart w:id="581" w:name="_Toc13615"/>
      <w:bookmarkStart w:id="582" w:name="_Toc57041972"/>
    </w:p>
    <w:p w14:paraId="65109565">
      <w:pPr>
        <w:pStyle w:val="4"/>
        <w:jc w:val="center"/>
        <w:rPr>
          <w:rFonts w:ascii="宋体" w:hAnsi="宋体" w:eastAsia="宋体"/>
        </w:rPr>
      </w:pPr>
      <w:r>
        <w:rPr>
          <w:rFonts w:ascii="宋体" w:hAnsi="宋体" w:eastAsia="宋体"/>
        </w:rPr>
        <w:t>6</w:t>
      </w:r>
      <w:r>
        <w:rPr>
          <w:rFonts w:hint="eastAsia" w:ascii="宋体" w:hAnsi="宋体" w:eastAsia="宋体"/>
        </w:rPr>
        <w:t>.为完成本项目投标人认为所需要的其它资料</w:t>
      </w:r>
      <w:bookmarkEnd w:id="580"/>
      <w:bookmarkEnd w:id="581"/>
      <w:bookmarkEnd w:id="582"/>
    </w:p>
    <w:p w14:paraId="48403210">
      <w:pPr>
        <w:pStyle w:val="125"/>
        <w:spacing w:line="360" w:lineRule="auto"/>
        <w:rPr>
          <w:rFonts w:hAnsi="宋体" w:cs="宋体"/>
          <w:sz w:val="24"/>
        </w:rPr>
      </w:pPr>
    </w:p>
    <w:p w14:paraId="61CD58A4">
      <w:pPr>
        <w:pStyle w:val="125"/>
        <w:spacing w:line="360" w:lineRule="auto"/>
        <w:rPr>
          <w:rFonts w:hAnsi="宋体" w:cs="宋体"/>
          <w:sz w:val="24"/>
        </w:rPr>
      </w:pPr>
    </w:p>
    <w:sectPr>
      <w:pgSz w:w="11906" w:h="16838"/>
      <w:pgMar w:top="1134" w:right="1134" w:bottom="1134" w:left="16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onospace">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Impact">
    <w:panose1 w:val="020B0806030902050204"/>
    <w:charset w:val="00"/>
    <w:family w:val="swiss"/>
    <w:pitch w:val="default"/>
    <w:sig w:usb0="00000287" w:usb1="00000000" w:usb2="00000000" w:usb3="00000000" w:csb0="2000009F" w:csb1="DFD70000"/>
  </w:font>
  <w:font w:name="楷体_GB2312">
    <w:panose1 w:val="02010609030101010101"/>
    <w:charset w:val="86"/>
    <w:family w:val="modern"/>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TimesNewRomanPSMT">
    <w:altName w:val="宋体"/>
    <w:panose1 w:val="00000000000000000000"/>
    <w:charset w:val="86"/>
    <w:family w:val="auto"/>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4B30E">
    <w:pPr>
      <w:pStyle w:val="28"/>
      <w:framePr w:wrap="around" w:vAnchor="text" w:hAnchor="margin" w:xAlign="center" w:y="1"/>
      <w:rPr>
        <w:rStyle w:val="47"/>
      </w:rPr>
    </w:pPr>
  </w:p>
  <w:p w14:paraId="61C60FE1">
    <w:pPr>
      <w:pStyle w:val="28"/>
      <w:jc w:val="center"/>
    </w:pPr>
  </w:p>
  <w:p w14:paraId="065C04E2">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F4147">
    <w:pPr>
      <w:pStyle w:val="28"/>
      <w:framePr w:wrap="around" w:vAnchor="text" w:hAnchor="margin" w:xAlign="center" w:y="1"/>
      <w:rPr>
        <w:rStyle w:val="47"/>
      </w:rPr>
    </w:pPr>
    <w:r>
      <w:fldChar w:fldCharType="begin"/>
    </w:r>
    <w:r>
      <w:rPr>
        <w:rStyle w:val="47"/>
      </w:rPr>
      <w:instrText xml:space="preserve">PAGE  </w:instrText>
    </w:r>
    <w:r>
      <w:fldChar w:fldCharType="end"/>
    </w:r>
  </w:p>
  <w:p w14:paraId="288802A8">
    <w:pPr>
      <w:pStyle w:val="2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B10A4">
    <w:pPr>
      <w:pStyle w:val="28"/>
      <w:jc w:val="center"/>
    </w:pPr>
    <w:r>
      <w:fldChar w:fldCharType="begin"/>
    </w:r>
    <w:r>
      <w:instrText xml:space="preserve">PAGE   \* MERGEFORMAT</w:instrText>
    </w:r>
    <w:r>
      <w:fldChar w:fldCharType="separate"/>
    </w:r>
    <w:r>
      <w:rPr>
        <w:lang w:val="zh-CN"/>
      </w:rPr>
      <w:t>27</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2F08E">
    <w:pPr>
      <w:pStyle w:val="2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abstractNum w:abstractNumId="1">
    <w:nsid w:val="5AE964C0"/>
    <w:multiLevelType w:val="singleLevel"/>
    <w:tmpl w:val="5AE964C0"/>
    <w:lvl w:ilvl="0" w:tentative="0">
      <w:start w:val="1"/>
      <w:numFmt w:val="decimal"/>
      <w:suff w:val="nothing"/>
      <w:lvlText w:val="%1．"/>
      <w:lvlJc w:val="left"/>
    </w:lvl>
  </w:abstractNum>
  <w:abstractNum w:abstractNumId="2">
    <w:nsid w:val="79451E5A"/>
    <w:multiLevelType w:val="multilevel"/>
    <w:tmpl w:val="79451E5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U1OTk2ZjkxYzMzMzQ1NjU2ZjAwYzVlNWM1N2EyMzUifQ=="/>
  </w:docVars>
  <w:rsids>
    <w:rsidRoot w:val="00172A27"/>
    <w:rsid w:val="00002086"/>
    <w:rsid w:val="00004C9E"/>
    <w:rsid w:val="00005E9B"/>
    <w:rsid w:val="00010BB8"/>
    <w:rsid w:val="0001137F"/>
    <w:rsid w:val="000228CD"/>
    <w:rsid w:val="000231B3"/>
    <w:rsid w:val="000241F4"/>
    <w:rsid w:val="00026A19"/>
    <w:rsid w:val="00031E52"/>
    <w:rsid w:val="0003230D"/>
    <w:rsid w:val="00035F52"/>
    <w:rsid w:val="00042746"/>
    <w:rsid w:val="000529DB"/>
    <w:rsid w:val="00052B1A"/>
    <w:rsid w:val="0005448E"/>
    <w:rsid w:val="00056478"/>
    <w:rsid w:val="000568AC"/>
    <w:rsid w:val="00062D2E"/>
    <w:rsid w:val="00064C14"/>
    <w:rsid w:val="00064F7F"/>
    <w:rsid w:val="00066120"/>
    <w:rsid w:val="00067D0A"/>
    <w:rsid w:val="00067E6E"/>
    <w:rsid w:val="00071C28"/>
    <w:rsid w:val="00074E7C"/>
    <w:rsid w:val="00075872"/>
    <w:rsid w:val="00076BA6"/>
    <w:rsid w:val="000775AE"/>
    <w:rsid w:val="000775F1"/>
    <w:rsid w:val="00092A74"/>
    <w:rsid w:val="000A00DC"/>
    <w:rsid w:val="000A03B7"/>
    <w:rsid w:val="000A4008"/>
    <w:rsid w:val="000A5016"/>
    <w:rsid w:val="000A520B"/>
    <w:rsid w:val="000B0D0B"/>
    <w:rsid w:val="000B124A"/>
    <w:rsid w:val="000B238B"/>
    <w:rsid w:val="000B2EDA"/>
    <w:rsid w:val="000B44EF"/>
    <w:rsid w:val="000C3194"/>
    <w:rsid w:val="000C3A35"/>
    <w:rsid w:val="000C69FC"/>
    <w:rsid w:val="000D22A1"/>
    <w:rsid w:val="000D38D3"/>
    <w:rsid w:val="000D4BFD"/>
    <w:rsid w:val="000D5315"/>
    <w:rsid w:val="000D61F3"/>
    <w:rsid w:val="000E0DF9"/>
    <w:rsid w:val="000E4830"/>
    <w:rsid w:val="000E7A8D"/>
    <w:rsid w:val="000E7DD8"/>
    <w:rsid w:val="000F00C3"/>
    <w:rsid w:val="000F54AE"/>
    <w:rsid w:val="000F59EE"/>
    <w:rsid w:val="0010414A"/>
    <w:rsid w:val="00104AF2"/>
    <w:rsid w:val="00105587"/>
    <w:rsid w:val="001077DD"/>
    <w:rsid w:val="00111D11"/>
    <w:rsid w:val="00114873"/>
    <w:rsid w:val="00116118"/>
    <w:rsid w:val="001167C7"/>
    <w:rsid w:val="00116E5C"/>
    <w:rsid w:val="0012048D"/>
    <w:rsid w:val="001230F1"/>
    <w:rsid w:val="0012791A"/>
    <w:rsid w:val="001312A5"/>
    <w:rsid w:val="0013741F"/>
    <w:rsid w:val="001426B6"/>
    <w:rsid w:val="001469F0"/>
    <w:rsid w:val="00151D4C"/>
    <w:rsid w:val="00157650"/>
    <w:rsid w:val="00161569"/>
    <w:rsid w:val="001617F6"/>
    <w:rsid w:val="00162836"/>
    <w:rsid w:val="0016384B"/>
    <w:rsid w:val="00163D31"/>
    <w:rsid w:val="00164246"/>
    <w:rsid w:val="00165428"/>
    <w:rsid w:val="001666ED"/>
    <w:rsid w:val="00167374"/>
    <w:rsid w:val="00167D24"/>
    <w:rsid w:val="001718FF"/>
    <w:rsid w:val="00172A27"/>
    <w:rsid w:val="00175DDF"/>
    <w:rsid w:val="00176714"/>
    <w:rsid w:val="00186A23"/>
    <w:rsid w:val="00194360"/>
    <w:rsid w:val="00195101"/>
    <w:rsid w:val="00197349"/>
    <w:rsid w:val="001A0D97"/>
    <w:rsid w:val="001A36A5"/>
    <w:rsid w:val="001A6236"/>
    <w:rsid w:val="001B150F"/>
    <w:rsid w:val="001B29D0"/>
    <w:rsid w:val="001B459F"/>
    <w:rsid w:val="001C3573"/>
    <w:rsid w:val="001C41FA"/>
    <w:rsid w:val="001C4ED4"/>
    <w:rsid w:val="001C5281"/>
    <w:rsid w:val="001C669E"/>
    <w:rsid w:val="001C7788"/>
    <w:rsid w:val="001D1237"/>
    <w:rsid w:val="001D2121"/>
    <w:rsid w:val="001D39DB"/>
    <w:rsid w:val="001D4282"/>
    <w:rsid w:val="001E05F6"/>
    <w:rsid w:val="001E2497"/>
    <w:rsid w:val="001E6EB7"/>
    <w:rsid w:val="001F348E"/>
    <w:rsid w:val="001F3A09"/>
    <w:rsid w:val="001F45D9"/>
    <w:rsid w:val="001F5B6B"/>
    <w:rsid w:val="001F5E85"/>
    <w:rsid w:val="00204433"/>
    <w:rsid w:val="002053CB"/>
    <w:rsid w:val="00205A24"/>
    <w:rsid w:val="00207D19"/>
    <w:rsid w:val="00226D73"/>
    <w:rsid w:val="00232C86"/>
    <w:rsid w:val="00233856"/>
    <w:rsid w:val="00237635"/>
    <w:rsid w:val="00240476"/>
    <w:rsid w:val="002417DC"/>
    <w:rsid w:val="002467C8"/>
    <w:rsid w:val="00251E62"/>
    <w:rsid w:val="00253FCA"/>
    <w:rsid w:val="0026004E"/>
    <w:rsid w:val="00265B53"/>
    <w:rsid w:val="00266968"/>
    <w:rsid w:val="0026712C"/>
    <w:rsid w:val="00270E00"/>
    <w:rsid w:val="00270E4B"/>
    <w:rsid w:val="00273DD7"/>
    <w:rsid w:val="0028087A"/>
    <w:rsid w:val="002819B0"/>
    <w:rsid w:val="00283B7F"/>
    <w:rsid w:val="00285BB8"/>
    <w:rsid w:val="002906B6"/>
    <w:rsid w:val="002912D9"/>
    <w:rsid w:val="00293DC3"/>
    <w:rsid w:val="00294470"/>
    <w:rsid w:val="002A08FB"/>
    <w:rsid w:val="002A3E8A"/>
    <w:rsid w:val="002A4EF9"/>
    <w:rsid w:val="002A50EA"/>
    <w:rsid w:val="002A6DE5"/>
    <w:rsid w:val="002B242A"/>
    <w:rsid w:val="002B35B5"/>
    <w:rsid w:val="002B791D"/>
    <w:rsid w:val="002C02D8"/>
    <w:rsid w:val="002C47E3"/>
    <w:rsid w:val="002D2821"/>
    <w:rsid w:val="002D7127"/>
    <w:rsid w:val="002E1414"/>
    <w:rsid w:val="002E16B2"/>
    <w:rsid w:val="002E573A"/>
    <w:rsid w:val="002F38BE"/>
    <w:rsid w:val="002F54CF"/>
    <w:rsid w:val="003131D6"/>
    <w:rsid w:val="003219BB"/>
    <w:rsid w:val="00326B3A"/>
    <w:rsid w:val="0033666C"/>
    <w:rsid w:val="00337113"/>
    <w:rsid w:val="00340291"/>
    <w:rsid w:val="00340BB0"/>
    <w:rsid w:val="003446B3"/>
    <w:rsid w:val="00355514"/>
    <w:rsid w:val="00355C5D"/>
    <w:rsid w:val="00356111"/>
    <w:rsid w:val="003574C8"/>
    <w:rsid w:val="00360D20"/>
    <w:rsid w:val="00362482"/>
    <w:rsid w:val="00364721"/>
    <w:rsid w:val="00364857"/>
    <w:rsid w:val="00364BB0"/>
    <w:rsid w:val="00365B86"/>
    <w:rsid w:val="00367F44"/>
    <w:rsid w:val="0037043A"/>
    <w:rsid w:val="00382C9B"/>
    <w:rsid w:val="0038453F"/>
    <w:rsid w:val="003845DC"/>
    <w:rsid w:val="00385803"/>
    <w:rsid w:val="00395B45"/>
    <w:rsid w:val="003A0746"/>
    <w:rsid w:val="003A0E6A"/>
    <w:rsid w:val="003B3691"/>
    <w:rsid w:val="003B390D"/>
    <w:rsid w:val="003B5F5C"/>
    <w:rsid w:val="003C0ADE"/>
    <w:rsid w:val="003C0C5D"/>
    <w:rsid w:val="003C103F"/>
    <w:rsid w:val="003C32C8"/>
    <w:rsid w:val="003D3301"/>
    <w:rsid w:val="003D702B"/>
    <w:rsid w:val="003E2437"/>
    <w:rsid w:val="003E5186"/>
    <w:rsid w:val="003E745E"/>
    <w:rsid w:val="003F4415"/>
    <w:rsid w:val="003F536E"/>
    <w:rsid w:val="004001ED"/>
    <w:rsid w:val="0040048A"/>
    <w:rsid w:val="00400F60"/>
    <w:rsid w:val="00402465"/>
    <w:rsid w:val="004051A2"/>
    <w:rsid w:val="00413F8B"/>
    <w:rsid w:val="00415372"/>
    <w:rsid w:val="00415E3E"/>
    <w:rsid w:val="0041696D"/>
    <w:rsid w:val="004204A9"/>
    <w:rsid w:val="00421F03"/>
    <w:rsid w:val="0042251F"/>
    <w:rsid w:val="00422D38"/>
    <w:rsid w:val="004234FA"/>
    <w:rsid w:val="00433FBD"/>
    <w:rsid w:val="0043416E"/>
    <w:rsid w:val="0043476C"/>
    <w:rsid w:val="0043476F"/>
    <w:rsid w:val="00434DEE"/>
    <w:rsid w:val="00435621"/>
    <w:rsid w:val="004401AB"/>
    <w:rsid w:val="00443063"/>
    <w:rsid w:val="00445180"/>
    <w:rsid w:val="00451462"/>
    <w:rsid w:val="00452744"/>
    <w:rsid w:val="00455E43"/>
    <w:rsid w:val="004574A5"/>
    <w:rsid w:val="00457C7D"/>
    <w:rsid w:val="0046082A"/>
    <w:rsid w:val="00461D23"/>
    <w:rsid w:val="00464345"/>
    <w:rsid w:val="0046461B"/>
    <w:rsid w:val="0047007E"/>
    <w:rsid w:val="00470216"/>
    <w:rsid w:val="004746E3"/>
    <w:rsid w:val="00476651"/>
    <w:rsid w:val="004768CD"/>
    <w:rsid w:val="00482E5C"/>
    <w:rsid w:val="0048419F"/>
    <w:rsid w:val="00492CBA"/>
    <w:rsid w:val="00494D4E"/>
    <w:rsid w:val="00495C05"/>
    <w:rsid w:val="004A0230"/>
    <w:rsid w:val="004A0DAD"/>
    <w:rsid w:val="004A791C"/>
    <w:rsid w:val="004B255A"/>
    <w:rsid w:val="004B5FF4"/>
    <w:rsid w:val="004B699A"/>
    <w:rsid w:val="004C03E9"/>
    <w:rsid w:val="004C3A87"/>
    <w:rsid w:val="004C7564"/>
    <w:rsid w:val="004D3057"/>
    <w:rsid w:val="004D4041"/>
    <w:rsid w:val="004D4DF8"/>
    <w:rsid w:val="004D4F68"/>
    <w:rsid w:val="004D7548"/>
    <w:rsid w:val="004E0A4D"/>
    <w:rsid w:val="004E3C60"/>
    <w:rsid w:val="004F5AAC"/>
    <w:rsid w:val="00501692"/>
    <w:rsid w:val="00507179"/>
    <w:rsid w:val="00507297"/>
    <w:rsid w:val="00507569"/>
    <w:rsid w:val="00511B23"/>
    <w:rsid w:val="005128D7"/>
    <w:rsid w:val="00517C65"/>
    <w:rsid w:val="00517D50"/>
    <w:rsid w:val="00521E6A"/>
    <w:rsid w:val="00534E80"/>
    <w:rsid w:val="00534F8F"/>
    <w:rsid w:val="00541B1E"/>
    <w:rsid w:val="00542200"/>
    <w:rsid w:val="0055082C"/>
    <w:rsid w:val="005614CE"/>
    <w:rsid w:val="00562099"/>
    <w:rsid w:val="00565838"/>
    <w:rsid w:val="00574633"/>
    <w:rsid w:val="005804E2"/>
    <w:rsid w:val="0058259A"/>
    <w:rsid w:val="0058414E"/>
    <w:rsid w:val="005851A2"/>
    <w:rsid w:val="00586231"/>
    <w:rsid w:val="00587EA3"/>
    <w:rsid w:val="00587EC0"/>
    <w:rsid w:val="005907EB"/>
    <w:rsid w:val="005A00EB"/>
    <w:rsid w:val="005A1FA6"/>
    <w:rsid w:val="005A2269"/>
    <w:rsid w:val="005A2954"/>
    <w:rsid w:val="005A3078"/>
    <w:rsid w:val="005A3ED1"/>
    <w:rsid w:val="005A450D"/>
    <w:rsid w:val="005B2B2D"/>
    <w:rsid w:val="005B325C"/>
    <w:rsid w:val="005B47D3"/>
    <w:rsid w:val="005B6013"/>
    <w:rsid w:val="005B669C"/>
    <w:rsid w:val="005B7205"/>
    <w:rsid w:val="005B73F7"/>
    <w:rsid w:val="005C26A6"/>
    <w:rsid w:val="005C5570"/>
    <w:rsid w:val="005D0773"/>
    <w:rsid w:val="005D1A89"/>
    <w:rsid w:val="005D6FA2"/>
    <w:rsid w:val="005D7B30"/>
    <w:rsid w:val="005D7B93"/>
    <w:rsid w:val="005E0AFA"/>
    <w:rsid w:val="005E66A7"/>
    <w:rsid w:val="005F2DF4"/>
    <w:rsid w:val="005F2EB7"/>
    <w:rsid w:val="005F714B"/>
    <w:rsid w:val="00601AB7"/>
    <w:rsid w:val="006023C9"/>
    <w:rsid w:val="006057A5"/>
    <w:rsid w:val="0060584E"/>
    <w:rsid w:val="00606085"/>
    <w:rsid w:val="00612FCF"/>
    <w:rsid w:val="00615232"/>
    <w:rsid w:val="006164A4"/>
    <w:rsid w:val="00620B28"/>
    <w:rsid w:val="006266D1"/>
    <w:rsid w:val="006269AF"/>
    <w:rsid w:val="00632165"/>
    <w:rsid w:val="00634E0B"/>
    <w:rsid w:val="00636718"/>
    <w:rsid w:val="0063788D"/>
    <w:rsid w:val="0064374C"/>
    <w:rsid w:val="006473FB"/>
    <w:rsid w:val="00651E96"/>
    <w:rsid w:val="00651EBC"/>
    <w:rsid w:val="00655F3F"/>
    <w:rsid w:val="00667501"/>
    <w:rsid w:val="00672DD9"/>
    <w:rsid w:val="0067304D"/>
    <w:rsid w:val="00674BE8"/>
    <w:rsid w:val="00675C4B"/>
    <w:rsid w:val="006760FD"/>
    <w:rsid w:val="00677185"/>
    <w:rsid w:val="006806FB"/>
    <w:rsid w:val="006807C7"/>
    <w:rsid w:val="006819C0"/>
    <w:rsid w:val="0068648C"/>
    <w:rsid w:val="00690A82"/>
    <w:rsid w:val="006A4E33"/>
    <w:rsid w:val="006A55A7"/>
    <w:rsid w:val="006A62A1"/>
    <w:rsid w:val="006A755E"/>
    <w:rsid w:val="006B4C9F"/>
    <w:rsid w:val="006B6D86"/>
    <w:rsid w:val="006D17F9"/>
    <w:rsid w:val="006D19E0"/>
    <w:rsid w:val="006D725F"/>
    <w:rsid w:val="006E2E1E"/>
    <w:rsid w:val="006E4626"/>
    <w:rsid w:val="006F3048"/>
    <w:rsid w:val="006F35D2"/>
    <w:rsid w:val="006F381A"/>
    <w:rsid w:val="006F43E6"/>
    <w:rsid w:val="006F445A"/>
    <w:rsid w:val="006F4A7F"/>
    <w:rsid w:val="006F56E3"/>
    <w:rsid w:val="006F5A07"/>
    <w:rsid w:val="007007C9"/>
    <w:rsid w:val="007019BA"/>
    <w:rsid w:val="00707EE9"/>
    <w:rsid w:val="0071020D"/>
    <w:rsid w:val="0071298D"/>
    <w:rsid w:val="00715FBE"/>
    <w:rsid w:val="00716E91"/>
    <w:rsid w:val="00720D11"/>
    <w:rsid w:val="00720D5E"/>
    <w:rsid w:val="00726CA6"/>
    <w:rsid w:val="00726FA7"/>
    <w:rsid w:val="0073153D"/>
    <w:rsid w:val="00732CB3"/>
    <w:rsid w:val="00734232"/>
    <w:rsid w:val="007353CA"/>
    <w:rsid w:val="00737D67"/>
    <w:rsid w:val="007404CB"/>
    <w:rsid w:val="0074081B"/>
    <w:rsid w:val="00743870"/>
    <w:rsid w:val="00743891"/>
    <w:rsid w:val="00744BB5"/>
    <w:rsid w:val="00746812"/>
    <w:rsid w:val="00754604"/>
    <w:rsid w:val="00756EAF"/>
    <w:rsid w:val="00757900"/>
    <w:rsid w:val="007629A2"/>
    <w:rsid w:val="00762B8B"/>
    <w:rsid w:val="007639E2"/>
    <w:rsid w:val="007640D5"/>
    <w:rsid w:val="00771F7B"/>
    <w:rsid w:val="007757BE"/>
    <w:rsid w:val="007850E6"/>
    <w:rsid w:val="007864CE"/>
    <w:rsid w:val="00791B56"/>
    <w:rsid w:val="007A24A0"/>
    <w:rsid w:val="007A53FC"/>
    <w:rsid w:val="007C3224"/>
    <w:rsid w:val="007C50EA"/>
    <w:rsid w:val="007C5C74"/>
    <w:rsid w:val="007C69D7"/>
    <w:rsid w:val="007D117C"/>
    <w:rsid w:val="007D1625"/>
    <w:rsid w:val="007D22B6"/>
    <w:rsid w:val="007D378B"/>
    <w:rsid w:val="007D56CF"/>
    <w:rsid w:val="007D5831"/>
    <w:rsid w:val="007D7C8C"/>
    <w:rsid w:val="007E536E"/>
    <w:rsid w:val="007E7321"/>
    <w:rsid w:val="007F3642"/>
    <w:rsid w:val="007F46ED"/>
    <w:rsid w:val="007F4F4F"/>
    <w:rsid w:val="00801586"/>
    <w:rsid w:val="0081780A"/>
    <w:rsid w:val="00821D21"/>
    <w:rsid w:val="00822752"/>
    <w:rsid w:val="00825092"/>
    <w:rsid w:val="00831E63"/>
    <w:rsid w:val="0083229B"/>
    <w:rsid w:val="00832A73"/>
    <w:rsid w:val="00834DEC"/>
    <w:rsid w:val="00841C10"/>
    <w:rsid w:val="00843AC4"/>
    <w:rsid w:val="00847EE2"/>
    <w:rsid w:val="0085264B"/>
    <w:rsid w:val="00852F53"/>
    <w:rsid w:val="008569A9"/>
    <w:rsid w:val="008613D5"/>
    <w:rsid w:val="00865991"/>
    <w:rsid w:val="00873650"/>
    <w:rsid w:val="00873F5C"/>
    <w:rsid w:val="008754E6"/>
    <w:rsid w:val="00891EA7"/>
    <w:rsid w:val="00892F29"/>
    <w:rsid w:val="00895ADB"/>
    <w:rsid w:val="008A321D"/>
    <w:rsid w:val="008A69B5"/>
    <w:rsid w:val="008B1F56"/>
    <w:rsid w:val="008B4BCC"/>
    <w:rsid w:val="008B4E77"/>
    <w:rsid w:val="008C0601"/>
    <w:rsid w:val="008C7CC5"/>
    <w:rsid w:val="008D369F"/>
    <w:rsid w:val="008E41DB"/>
    <w:rsid w:val="008E65C4"/>
    <w:rsid w:val="008F0096"/>
    <w:rsid w:val="008F3632"/>
    <w:rsid w:val="008F6305"/>
    <w:rsid w:val="009042EB"/>
    <w:rsid w:val="009064CE"/>
    <w:rsid w:val="00914E62"/>
    <w:rsid w:val="00917BB8"/>
    <w:rsid w:val="00920B3F"/>
    <w:rsid w:val="00922237"/>
    <w:rsid w:val="00924347"/>
    <w:rsid w:val="00925CE7"/>
    <w:rsid w:val="009307C7"/>
    <w:rsid w:val="009365E8"/>
    <w:rsid w:val="00943DDB"/>
    <w:rsid w:val="009508D8"/>
    <w:rsid w:val="00952ECE"/>
    <w:rsid w:val="00953624"/>
    <w:rsid w:val="00960976"/>
    <w:rsid w:val="0096252C"/>
    <w:rsid w:val="00964BFE"/>
    <w:rsid w:val="00966854"/>
    <w:rsid w:val="00970F62"/>
    <w:rsid w:val="009714A6"/>
    <w:rsid w:val="00971645"/>
    <w:rsid w:val="00975E31"/>
    <w:rsid w:val="009800D4"/>
    <w:rsid w:val="009811ED"/>
    <w:rsid w:val="009816D7"/>
    <w:rsid w:val="00987645"/>
    <w:rsid w:val="0099090F"/>
    <w:rsid w:val="00990F0A"/>
    <w:rsid w:val="00992A6F"/>
    <w:rsid w:val="00997D43"/>
    <w:rsid w:val="009A44AC"/>
    <w:rsid w:val="009A497E"/>
    <w:rsid w:val="009A741C"/>
    <w:rsid w:val="009B20B5"/>
    <w:rsid w:val="009B2CF4"/>
    <w:rsid w:val="009B6F3E"/>
    <w:rsid w:val="009C5739"/>
    <w:rsid w:val="009D2049"/>
    <w:rsid w:val="009D41C6"/>
    <w:rsid w:val="009D5CCD"/>
    <w:rsid w:val="009D725D"/>
    <w:rsid w:val="009E2FC4"/>
    <w:rsid w:val="009E35B2"/>
    <w:rsid w:val="009E3AC3"/>
    <w:rsid w:val="009E5043"/>
    <w:rsid w:val="009E7EA1"/>
    <w:rsid w:val="009F3293"/>
    <w:rsid w:val="009F6DB0"/>
    <w:rsid w:val="00A02E4B"/>
    <w:rsid w:val="00A03834"/>
    <w:rsid w:val="00A03CAC"/>
    <w:rsid w:val="00A07A37"/>
    <w:rsid w:val="00A136F3"/>
    <w:rsid w:val="00A22265"/>
    <w:rsid w:val="00A23851"/>
    <w:rsid w:val="00A30C4F"/>
    <w:rsid w:val="00A30F11"/>
    <w:rsid w:val="00A31EB4"/>
    <w:rsid w:val="00A32D86"/>
    <w:rsid w:val="00A41AE0"/>
    <w:rsid w:val="00A4237A"/>
    <w:rsid w:val="00A432F3"/>
    <w:rsid w:val="00A476B0"/>
    <w:rsid w:val="00A50027"/>
    <w:rsid w:val="00A51830"/>
    <w:rsid w:val="00A52D18"/>
    <w:rsid w:val="00A72F90"/>
    <w:rsid w:val="00A76537"/>
    <w:rsid w:val="00A815B5"/>
    <w:rsid w:val="00A85FC1"/>
    <w:rsid w:val="00A8673A"/>
    <w:rsid w:val="00A906A5"/>
    <w:rsid w:val="00A92789"/>
    <w:rsid w:val="00A95D52"/>
    <w:rsid w:val="00A978D7"/>
    <w:rsid w:val="00AA1D9B"/>
    <w:rsid w:val="00AA7FE5"/>
    <w:rsid w:val="00AC1394"/>
    <w:rsid w:val="00AC79ED"/>
    <w:rsid w:val="00AD1A1D"/>
    <w:rsid w:val="00AD2A3E"/>
    <w:rsid w:val="00AD36DF"/>
    <w:rsid w:val="00AD4EC6"/>
    <w:rsid w:val="00AE1793"/>
    <w:rsid w:val="00AE4133"/>
    <w:rsid w:val="00AE6792"/>
    <w:rsid w:val="00AF20FB"/>
    <w:rsid w:val="00AF2985"/>
    <w:rsid w:val="00B0080C"/>
    <w:rsid w:val="00B01B65"/>
    <w:rsid w:val="00B01D02"/>
    <w:rsid w:val="00B0203E"/>
    <w:rsid w:val="00B02349"/>
    <w:rsid w:val="00B03DB0"/>
    <w:rsid w:val="00B06AE9"/>
    <w:rsid w:val="00B07754"/>
    <w:rsid w:val="00B11644"/>
    <w:rsid w:val="00B12F79"/>
    <w:rsid w:val="00B152C5"/>
    <w:rsid w:val="00B3325F"/>
    <w:rsid w:val="00B34634"/>
    <w:rsid w:val="00B34F45"/>
    <w:rsid w:val="00B41883"/>
    <w:rsid w:val="00B4189D"/>
    <w:rsid w:val="00B445E8"/>
    <w:rsid w:val="00B6419F"/>
    <w:rsid w:val="00B674EE"/>
    <w:rsid w:val="00B70ED7"/>
    <w:rsid w:val="00B71797"/>
    <w:rsid w:val="00B760E3"/>
    <w:rsid w:val="00B77394"/>
    <w:rsid w:val="00B82159"/>
    <w:rsid w:val="00B841D1"/>
    <w:rsid w:val="00B904D8"/>
    <w:rsid w:val="00B922CA"/>
    <w:rsid w:val="00B94FC7"/>
    <w:rsid w:val="00B95A97"/>
    <w:rsid w:val="00B97E4E"/>
    <w:rsid w:val="00BA6CE5"/>
    <w:rsid w:val="00BA75E8"/>
    <w:rsid w:val="00BA7CDD"/>
    <w:rsid w:val="00BA7DA7"/>
    <w:rsid w:val="00BB3E6F"/>
    <w:rsid w:val="00BB4234"/>
    <w:rsid w:val="00BC39D9"/>
    <w:rsid w:val="00BC46B0"/>
    <w:rsid w:val="00BD35F4"/>
    <w:rsid w:val="00BE020E"/>
    <w:rsid w:val="00BE233A"/>
    <w:rsid w:val="00BE2D51"/>
    <w:rsid w:val="00BE5655"/>
    <w:rsid w:val="00BE621C"/>
    <w:rsid w:val="00BF5E81"/>
    <w:rsid w:val="00BF6BF3"/>
    <w:rsid w:val="00BF74C5"/>
    <w:rsid w:val="00C03564"/>
    <w:rsid w:val="00C03BCF"/>
    <w:rsid w:val="00C04FB3"/>
    <w:rsid w:val="00C05D7C"/>
    <w:rsid w:val="00C109FB"/>
    <w:rsid w:val="00C10AB7"/>
    <w:rsid w:val="00C1120E"/>
    <w:rsid w:val="00C11F0F"/>
    <w:rsid w:val="00C220D4"/>
    <w:rsid w:val="00C23334"/>
    <w:rsid w:val="00C23A17"/>
    <w:rsid w:val="00C25B18"/>
    <w:rsid w:val="00C27796"/>
    <w:rsid w:val="00C34AE6"/>
    <w:rsid w:val="00C35942"/>
    <w:rsid w:val="00C44B32"/>
    <w:rsid w:val="00C53438"/>
    <w:rsid w:val="00C574B1"/>
    <w:rsid w:val="00C62E59"/>
    <w:rsid w:val="00C63723"/>
    <w:rsid w:val="00C65507"/>
    <w:rsid w:val="00C71F1E"/>
    <w:rsid w:val="00C76FA8"/>
    <w:rsid w:val="00C80A95"/>
    <w:rsid w:val="00C82958"/>
    <w:rsid w:val="00C90714"/>
    <w:rsid w:val="00C911F9"/>
    <w:rsid w:val="00C91925"/>
    <w:rsid w:val="00C92DD5"/>
    <w:rsid w:val="00C95BA7"/>
    <w:rsid w:val="00CA0171"/>
    <w:rsid w:val="00CA0601"/>
    <w:rsid w:val="00CA1268"/>
    <w:rsid w:val="00CA159C"/>
    <w:rsid w:val="00CA2DA0"/>
    <w:rsid w:val="00CA5E91"/>
    <w:rsid w:val="00CA6CB4"/>
    <w:rsid w:val="00CB7826"/>
    <w:rsid w:val="00CC0042"/>
    <w:rsid w:val="00CC2D18"/>
    <w:rsid w:val="00CC3931"/>
    <w:rsid w:val="00CC451F"/>
    <w:rsid w:val="00CD1CD7"/>
    <w:rsid w:val="00CD3CD0"/>
    <w:rsid w:val="00CD58B1"/>
    <w:rsid w:val="00CD7C3B"/>
    <w:rsid w:val="00CD7E32"/>
    <w:rsid w:val="00CE1AD2"/>
    <w:rsid w:val="00CE1FDC"/>
    <w:rsid w:val="00CE6F2A"/>
    <w:rsid w:val="00CF00BE"/>
    <w:rsid w:val="00CF106A"/>
    <w:rsid w:val="00D03881"/>
    <w:rsid w:val="00D10753"/>
    <w:rsid w:val="00D21335"/>
    <w:rsid w:val="00D23E34"/>
    <w:rsid w:val="00D25C00"/>
    <w:rsid w:val="00D31B8E"/>
    <w:rsid w:val="00D32039"/>
    <w:rsid w:val="00D3215F"/>
    <w:rsid w:val="00D3553C"/>
    <w:rsid w:val="00D37485"/>
    <w:rsid w:val="00D407C1"/>
    <w:rsid w:val="00D417D9"/>
    <w:rsid w:val="00D42765"/>
    <w:rsid w:val="00D46AFB"/>
    <w:rsid w:val="00D5196C"/>
    <w:rsid w:val="00D51EFD"/>
    <w:rsid w:val="00D522E2"/>
    <w:rsid w:val="00D52DB1"/>
    <w:rsid w:val="00D53F87"/>
    <w:rsid w:val="00D53F8B"/>
    <w:rsid w:val="00D54BF3"/>
    <w:rsid w:val="00D5672E"/>
    <w:rsid w:val="00D64AF7"/>
    <w:rsid w:val="00D64DF8"/>
    <w:rsid w:val="00D71685"/>
    <w:rsid w:val="00D74E8C"/>
    <w:rsid w:val="00D77D1F"/>
    <w:rsid w:val="00D84EBC"/>
    <w:rsid w:val="00D86304"/>
    <w:rsid w:val="00D905FF"/>
    <w:rsid w:val="00D91A79"/>
    <w:rsid w:val="00D91C2F"/>
    <w:rsid w:val="00D9616E"/>
    <w:rsid w:val="00D96FB2"/>
    <w:rsid w:val="00DA1681"/>
    <w:rsid w:val="00DA1AF1"/>
    <w:rsid w:val="00DA317E"/>
    <w:rsid w:val="00DB5C8E"/>
    <w:rsid w:val="00DB5F9F"/>
    <w:rsid w:val="00DC1D96"/>
    <w:rsid w:val="00DC20B2"/>
    <w:rsid w:val="00DC6237"/>
    <w:rsid w:val="00DC72DA"/>
    <w:rsid w:val="00DC7C7D"/>
    <w:rsid w:val="00DD00D5"/>
    <w:rsid w:val="00DD0D9A"/>
    <w:rsid w:val="00DD36C8"/>
    <w:rsid w:val="00DD67CA"/>
    <w:rsid w:val="00DD72E3"/>
    <w:rsid w:val="00DF2D62"/>
    <w:rsid w:val="00DF3B1B"/>
    <w:rsid w:val="00DF3C6C"/>
    <w:rsid w:val="00DF5FC6"/>
    <w:rsid w:val="00E038BE"/>
    <w:rsid w:val="00E03C40"/>
    <w:rsid w:val="00E05BE2"/>
    <w:rsid w:val="00E077E5"/>
    <w:rsid w:val="00E12496"/>
    <w:rsid w:val="00E1545F"/>
    <w:rsid w:val="00E23314"/>
    <w:rsid w:val="00E33789"/>
    <w:rsid w:val="00E34BD0"/>
    <w:rsid w:val="00E404AB"/>
    <w:rsid w:val="00E4773C"/>
    <w:rsid w:val="00E477C7"/>
    <w:rsid w:val="00E51627"/>
    <w:rsid w:val="00E538BE"/>
    <w:rsid w:val="00E56A53"/>
    <w:rsid w:val="00E56D91"/>
    <w:rsid w:val="00E57F9E"/>
    <w:rsid w:val="00E611DD"/>
    <w:rsid w:val="00E61F7E"/>
    <w:rsid w:val="00E63492"/>
    <w:rsid w:val="00E7039D"/>
    <w:rsid w:val="00E72742"/>
    <w:rsid w:val="00E76111"/>
    <w:rsid w:val="00E84878"/>
    <w:rsid w:val="00E90B93"/>
    <w:rsid w:val="00E93A4C"/>
    <w:rsid w:val="00E95391"/>
    <w:rsid w:val="00EA2DDC"/>
    <w:rsid w:val="00EB0449"/>
    <w:rsid w:val="00EB1028"/>
    <w:rsid w:val="00EB21B0"/>
    <w:rsid w:val="00EB4583"/>
    <w:rsid w:val="00EB461A"/>
    <w:rsid w:val="00EC2333"/>
    <w:rsid w:val="00EC2F60"/>
    <w:rsid w:val="00EC5F01"/>
    <w:rsid w:val="00ED1EC1"/>
    <w:rsid w:val="00ED33F7"/>
    <w:rsid w:val="00ED6198"/>
    <w:rsid w:val="00ED7EDD"/>
    <w:rsid w:val="00EE2CCA"/>
    <w:rsid w:val="00EE4D32"/>
    <w:rsid w:val="00EF1AF6"/>
    <w:rsid w:val="00EF1BE3"/>
    <w:rsid w:val="00EF3A8E"/>
    <w:rsid w:val="00EF55D9"/>
    <w:rsid w:val="00EF6C1F"/>
    <w:rsid w:val="00F05C41"/>
    <w:rsid w:val="00F10C4D"/>
    <w:rsid w:val="00F112F8"/>
    <w:rsid w:val="00F12747"/>
    <w:rsid w:val="00F14938"/>
    <w:rsid w:val="00F1575D"/>
    <w:rsid w:val="00F214E0"/>
    <w:rsid w:val="00F243AE"/>
    <w:rsid w:val="00F27AE1"/>
    <w:rsid w:val="00F30B2A"/>
    <w:rsid w:val="00F32821"/>
    <w:rsid w:val="00F3754E"/>
    <w:rsid w:val="00F462F7"/>
    <w:rsid w:val="00F469EB"/>
    <w:rsid w:val="00F50E53"/>
    <w:rsid w:val="00F5143E"/>
    <w:rsid w:val="00F51DDD"/>
    <w:rsid w:val="00F51FA6"/>
    <w:rsid w:val="00F51FC4"/>
    <w:rsid w:val="00F57973"/>
    <w:rsid w:val="00F6418A"/>
    <w:rsid w:val="00F665E1"/>
    <w:rsid w:val="00F7677E"/>
    <w:rsid w:val="00F855DF"/>
    <w:rsid w:val="00F8621A"/>
    <w:rsid w:val="00F8642C"/>
    <w:rsid w:val="00F90613"/>
    <w:rsid w:val="00F90CBC"/>
    <w:rsid w:val="00F92F32"/>
    <w:rsid w:val="00F94334"/>
    <w:rsid w:val="00F97720"/>
    <w:rsid w:val="00FA2961"/>
    <w:rsid w:val="00FA32B9"/>
    <w:rsid w:val="00FA34C4"/>
    <w:rsid w:val="00FA6ABC"/>
    <w:rsid w:val="00FA756B"/>
    <w:rsid w:val="00FB3832"/>
    <w:rsid w:val="00FB3A5D"/>
    <w:rsid w:val="00FC090F"/>
    <w:rsid w:val="00FC2692"/>
    <w:rsid w:val="00FD0AA4"/>
    <w:rsid w:val="00FD22FF"/>
    <w:rsid w:val="00FD3FB3"/>
    <w:rsid w:val="00FD5F92"/>
    <w:rsid w:val="00FD6833"/>
    <w:rsid w:val="00FF18CF"/>
    <w:rsid w:val="00FF2DFC"/>
    <w:rsid w:val="00FF7C53"/>
    <w:rsid w:val="010047A5"/>
    <w:rsid w:val="012F6EF2"/>
    <w:rsid w:val="01421515"/>
    <w:rsid w:val="014858B4"/>
    <w:rsid w:val="014B0DBB"/>
    <w:rsid w:val="014D1DD7"/>
    <w:rsid w:val="015A2BC7"/>
    <w:rsid w:val="01672E49"/>
    <w:rsid w:val="0172738E"/>
    <w:rsid w:val="018579E0"/>
    <w:rsid w:val="01886E88"/>
    <w:rsid w:val="018A2ED7"/>
    <w:rsid w:val="0192239F"/>
    <w:rsid w:val="01934E88"/>
    <w:rsid w:val="01A42796"/>
    <w:rsid w:val="01B13798"/>
    <w:rsid w:val="01DB754E"/>
    <w:rsid w:val="01E5386F"/>
    <w:rsid w:val="01E640C7"/>
    <w:rsid w:val="01EA4B61"/>
    <w:rsid w:val="01F12083"/>
    <w:rsid w:val="01F33ECB"/>
    <w:rsid w:val="02026804"/>
    <w:rsid w:val="020447D9"/>
    <w:rsid w:val="02145127"/>
    <w:rsid w:val="02243040"/>
    <w:rsid w:val="022913FD"/>
    <w:rsid w:val="024A1445"/>
    <w:rsid w:val="024B20D6"/>
    <w:rsid w:val="025E40FC"/>
    <w:rsid w:val="025E677C"/>
    <w:rsid w:val="02610A17"/>
    <w:rsid w:val="02692CAC"/>
    <w:rsid w:val="02764007"/>
    <w:rsid w:val="02814850"/>
    <w:rsid w:val="02836BA8"/>
    <w:rsid w:val="0285349A"/>
    <w:rsid w:val="0285765B"/>
    <w:rsid w:val="028B05EC"/>
    <w:rsid w:val="02991AC1"/>
    <w:rsid w:val="02A23EAE"/>
    <w:rsid w:val="02C464CC"/>
    <w:rsid w:val="02CA0563"/>
    <w:rsid w:val="02DC4408"/>
    <w:rsid w:val="02E10FCD"/>
    <w:rsid w:val="02F33D66"/>
    <w:rsid w:val="031638B3"/>
    <w:rsid w:val="031B2795"/>
    <w:rsid w:val="032E0D28"/>
    <w:rsid w:val="033A3070"/>
    <w:rsid w:val="033A577F"/>
    <w:rsid w:val="033C5309"/>
    <w:rsid w:val="034B2E38"/>
    <w:rsid w:val="0351403C"/>
    <w:rsid w:val="036F1DFA"/>
    <w:rsid w:val="037800D1"/>
    <w:rsid w:val="037D1784"/>
    <w:rsid w:val="03943BAB"/>
    <w:rsid w:val="03965F6F"/>
    <w:rsid w:val="039A4C2E"/>
    <w:rsid w:val="039A66C8"/>
    <w:rsid w:val="03AA2B94"/>
    <w:rsid w:val="03AD20B4"/>
    <w:rsid w:val="03AF16E6"/>
    <w:rsid w:val="03B20960"/>
    <w:rsid w:val="03B370DC"/>
    <w:rsid w:val="03C12B3B"/>
    <w:rsid w:val="03DA62A6"/>
    <w:rsid w:val="03DD26E7"/>
    <w:rsid w:val="03E17E7D"/>
    <w:rsid w:val="03E47BBF"/>
    <w:rsid w:val="03F47902"/>
    <w:rsid w:val="03F82EB8"/>
    <w:rsid w:val="03FA6CD7"/>
    <w:rsid w:val="04134D3A"/>
    <w:rsid w:val="04135AFA"/>
    <w:rsid w:val="04190550"/>
    <w:rsid w:val="043521B4"/>
    <w:rsid w:val="04645462"/>
    <w:rsid w:val="046F6BCB"/>
    <w:rsid w:val="0470775D"/>
    <w:rsid w:val="047E36D9"/>
    <w:rsid w:val="048644D7"/>
    <w:rsid w:val="04877EA0"/>
    <w:rsid w:val="0497583C"/>
    <w:rsid w:val="049968A0"/>
    <w:rsid w:val="04A9305F"/>
    <w:rsid w:val="04AB4AC5"/>
    <w:rsid w:val="04BE3BE7"/>
    <w:rsid w:val="04D36D85"/>
    <w:rsid w:val="04D5771A"/>
    <w:rsid w:val="04DD44BD"/>
    <w:rsid w:val="04E07D8C"/>
    <w:rsid w:val="04FB6DA7"/>
    <w:rsid w:val="0507342B"/>
    <w:rsid w:val="051366CA"/>
    <w:rsid w:val="051C7E2C"/>
    <w:rsid w:val="051D4C9C"/>
    <w:rsid w:val="05241BB5"/>
    <w:rsid w:val="053113C2"/>
    <w:rsid w:val="05340667"/>
    <w:rsid w:val="0534627A"/>
    <w:rsid w:val="05621D12"/>
    <w:rsid w:val="058D3D95"/>
    <w:rsid w:val="05976A45"/>
    <w:rsid w:val="05B80C59"/>
    <w:rsid w:val="05B92682"/>
    <w:rsid w:val="05BB66B3"/>
    <w:rsid w:val="05CD2D54"/>
    <w:rsid w:val="05F16A9D"/>
    <w:rsid w:val="05F25AF1"/>
    <w:rsid w:val="05F36A2C"/>
    <w:rsid w:val="05FA28B9"/>
    <w:rsid w:val="05FF7855"/>
    <w:rsid w:val="060414B8"/>
    <w:rsid w:val="060B118B"/>
    <w:rsid w:val="061353D0"/>
    <w:rsid w:val="064544FD"/>
    <w:rsid w:val="064747D2"/>
    <w:rsid w:val="06547B77"/>
    <w:rsid w:val="0657796A"/>
    <w:rsid w:val="065A3911"/>
    <w:rsid w:val="06616B3F"/>
    <w:rsid w:val="06855F99"/>
    <w:rsid w:val="06985ACD"/>
    <w:rsid w:val="06AE3383"/>
    <w:rsid w:val="06B25528"/>
    <w:rsid w:val="06BD5574"/>
    <w:rsid w:val="06D90639"/>
    <w:rsid w:val="06EC0F14"/>
    <w:rsid w:val="06FD76CF"/>
    <w:rsid w:val="07027834"/>
    <w:rsid w:val="07356D8A"/>
    <w:rsid w:val="074F1149"/>
    <w:rsid w:val="0752631C"/>
    <w:rsid w:val="075C3631"/>
    <w:rsid w:val="07680990"/>
    <w:rsid w:val="0777531C"/>
    <w:rsid w:val="078042E4"/>
    <w:rsid w:val="07834A1B"/>
    <w:rsid w:val="0793789A"/>
    <w:rsid w:val="07985A07"/>
    <w:rsid w:val="07B635BB"/>
    <w:rsid w:val="07B84DAF"/>
    <w:rsid w:val="07BE37D4"/>
    <w:rsid w:val="07C63B40"/>
    <w:rsid w:val="07DC0A86"/>
    <w:rsid w:val="07EC59A1"/>
    <w:rsid w:val="07F3329B"/>
    <w:rsid w:val="07F726DC"/>
    <w:rsid w:val="08270F31"/>
    <w:rsid w:val="08314CF2"/>
    <w:rsid w:val="08334372"/>
    <w:rsid w:val="086D1736"/>
    <w:rsid w:val="086F6373"/>
    <w:rsid w:val="08726E27"/>
    <w:rsid w:val="087B505A"/>
    <w:rsid w:val="087F4EEA"/>
    <w:rsid w:val="0889188A"/>
    <w:rsid w:val="08975D57"/>
    <w:rsid w:val="08A52D6A"/>
    <w:rsid w:val="08AD3BF8"/>
    <w:rsid w:val="08AE5986"/>
    <w:rsid w:val="08BB127F"/>
    <w:rsid w:val="08CB5FB2"/>
    <w:rsid w:val="08D70107"/>
    <w:rsid w:val="091474E7"/>
    <w:rsid w:val="092405D0"/>
    <w:rsid w:val="093057D8"/>
    <w:rsid w:val="096370F3"/>
    <w:rsid w:val="09680A56"/>
    <w:rsid w:val="096F533B"/>
    <w:rsid w:val="09732D22"/>
    <w:rsid w:val="09A65177"/>
    <w:rsid w:val="09B369E4"/>
    <w:rsid w:val="09CA2F1F"/>
    <w:rsid w:val="09CD7216"/>
    <w:rsid w:val="09DB1F1C"/>
    <w:rsid w:val="09DE5E59"/>
    <w:rsid w:val="09EA7B6A"/>
    <w:rsid w:val="09F63EB5"/>
    <w:rsid w:val="09FF4DFA"/>
    <w:rsid w:val="0A0C3FA2"/>
    <w:rsid w:val="0A0C4AAC"/>
    <w:rsid w:val="0A2E78C3"/>
    <w:rsid w:val="0A3D1368"/>
    <w:rsid w:val="0A503CB2"/>
    <w:rsid w:val="0A684A0E"/>
    <w:rsid w:val="0A7000E5"/>
    <w:rsid w:val="0A760526"/>
    <w:rsid w:val="0A8166CE"/>
    <w:rsid w:val="0A9F67CF"/>
    <w:rsid w:val="0AAA131D"/>
    <w:rsid w:val="0AAD1CC3"/>
    <w:rsid w:val="0AB10C30"/>
    <w:rsid w:val="0AB81200"/>
    <w:rsid w:val="0AC73B15"/>
    <w:rsid w:val="0ADD10B1"/>
    <w:rsid w:val="0AE21F52"/>
    <w:rsid w:val="0AE311FD"/>
    <w:rsid w:val="0AE56105"/>
    <w:rsid w:val="0B0E2078"/>
    <w:rsid w:val="0B1A6BF4"/>
    <w:rsid w:val="0B2205C5"/>
    <w:rsid w:val="0B2357F7"/>
    <w:rsid w:val="0B262D80"/>
    <w:rsid w:val="0B2E5BF8"/>
    <w:rsid w:val="0B3F29A5"/>
    <w:rsid w:val="0B403C63"/>
    <w:rsid w:val="0B572A8C"/>
    <w:rsid w:val="0B7E62CC"/>
    <w:rsid w:val="0B82172C"/>
    <w:rsid w:val="0B825747"/>
    <w:rsid w:val="0B961BDF"/>
    <w:rsid w:val="0BA02FDE"/>
    <w:rsid w:val="0BCC431E"/>
    <w:rsid w:val="0BD44CBF"/>
    <w:rsid w:val="0BD62D62"/>
    <w:rsid w:val="0BE47637"/>
    <w:rsid w:val="0BF967AF"/>
    <w:rsid w:val="0BFD527E"/>
    <w:rsid w:val="0C2035E0"/>
    <w:rsid w:val="0C253A1F"/>
    <w:rsid w:val="0C280B8D"/>
    <w:rsid w:val="0C374448"/>
    <w:rsid w:val="0C4A0698"/>
    <w:rsid w:val="0C502218"/>
    <w:rsid w:val="0C506DC6"/>
    <w:rsid w:val="0C6A717F"/>
    <w:rsid w:val="0C6F7063"/>
    <w:rsid w:val="0C7A4D3E"/>
    <w:rsid w:val="0C851C3C"/>
    <w:rsid w:val="0C8D0E3D"/>
    <w:rsid w:val="0C9D6E56"/>
    <w:rsid w:val="0CC86611"/>
    <w:rsid w:val="0CE077DB"/>
    <w:rsid w:val="0CE20F86"/>
    <w:rsid w:val="0CE90384"/>
    <w:rsid w:val="0CF339EF"/>
    <w:rsid w:val="0CFE010A"/>
    <w:rsid w:val="0D0A2791"/>
    <w:rsid w:val="0D0E75B4"/>
    <w:rsid w:val="0D142839"/>
    <w:rsid w:val="0D192C6E"/>
    <w:rsid w:val="0D394F3F"/>
    <w:rsid w:val="0D504446"/>
    <w:rsid w:val="0D6927EA"/>
    <w:rsid w:val="0DA50085"/>
    <w:rsid w:val="0DBF7658"/>
    <w:rsid w:val="0DC01DEC"/>
    <w:rsid w:val="0DC3724F"/>
    <w:rsid w:val="0DC96DC9"/>
    <w:rsid w:val="0DDF4C79"/>
    <w:rsid w:val="0DE52F12"/>
    <w:rsid w:val="0DE83F4C"/>
    <w:rsid w:val="0DFC60A7"/>
    <w:rsid w:val="0E0F6164"/>
    <w:rsid w:val="0E1C58E1"/>
    <w:rsid w:val="0E28317F"/>
    <w:rsid w:val="0E2F340F"/>
    <w:rsid w:val="0E2F5A46"/>
    <w:rsid w:val="0E415094"/>
    <w:rsid w:val="0E484467"/>
    <w:rsid w:val="0E4A21C1"/>
    <w:rsid w:val="0E4B75C2"/>
    <w:rsid w:val="0E56764E"/>
    <w:rsid w:val="0E67339B"/>
    <w:rsid w:val="0E6F0B44"/>
    <w:rsid w:val="0E785368"/>
    <w:rsid w:val="0E795CBD"/>
    <w:rsid w:val="0E836BBC"/>
    <w:rsid w:val="0EB61F72"/>
    <w:rsid w:val="0ED31CCA"/>
    <w:rsid w:val="0ED35987"/>
    <w:rsid w:val="0ED9371D"/>
    <w:rsid w:val="0EE85412"/>
    <w:rsid w:val="0F1778B0"/>
    <w:rsid w:val="0F1B4A1D"/>
    <w:rsid w:val="0F33621D"/>
    <w:rsid w:val="0F385E2D"/>
    <w:rsid w:val="0F484AA9"/>
    <w:rsid w:val="0F5D5E64"/>
    <w:rsid w:val="0F5E4385"/>
    <w:rsid w:val="0F731EAA"/>
    <w:rsid w:val="0F752EE8"/>
    <w:rsid w:val="0F7C65CC"/>
    <w:rsid w:val="0F7D3D89"/>
    <w:rsid w:val="0F915291"/>
    <w:rsid w:val="0FB7501E"/>
    <w:rsid w:val="0FB951F4"/>
    <w:rsid w:val="0FD118F1"/>
    <w:rsid w:val="0FF3353E"/>
    <w:rsid w:val="0FFB56F9"/>
    <w:rsid w:val="100C10A5"/>
    <w:rsid w:val="100F3B6B"/>
    <w:rsid w:val="1027197C"/>
    <w:rsid w:val="103E084F"/>
    <w:rsid w:val="10566EFC"/>
    <w:rsid w:val="106D0B54"/>
    <w:rsid w:val="106D511D"/>
    <w:rsid w:val="10922326"/>
    <w:rsid w:val="109733FD"/>
    <w:rsid w:val="10A201DC"/>
    <w:rsid w:val="10AA08E4"/>
    <w:rsid w:val="10AF183D"/>
    <w:rsid w:val="10AF4A06"/>
    <w:rsid w:val="10BB3E35"/>
    <w:rsid w:val="10CD1F5B"/>
    <w:rsid w:val="10D368C5"/>
    <w:rsid w:val="10DC7167"/>
    <w:rsid w:val="10F13AAC"/>
    <w:rsid w:val="10FC6553"/>
    <w:rsid w:val="10FF73DA"/>
    <w:rsid w:val="11407BE3"/>
    <w:rsid w:val="11714602"/>
    <w:rsid w:val="118F0B6A"/>
    <w:rsid w:val="11967D53"/>
    <w:rsid w:val="11A4430F"/>
    <w:rsid w:val="11A82C9C"/>
    <w:rsid w:val="11AD4DEB"/>
    <w:rsid w:val="11B4379F"/>
    <w:rsid w:val="11C01CC9"/>
    <w:rsid w:val="11C1533C"/>
    <w:rsid w:val="11ED0E2D"/>
    <w:rsid w:val="120A16E2"/>
    <w:rsid w:val="12242626"/>
    <w:rsid w:val="12293F3B"/>
    <w:rsid w:val="122D6A72"/>
    <w:rsid w:val="12325864"/>
    <w:rsid w:val="12476754"/>
    <w:rsid w:val="12581702"/>
    <w:rsid w:val="125E579B"/>
    <w:rsid w:val="1269003B"/>
    <w:rsid w:val="128A4DF4"/>
    <w:rsid w:val="129B136C"/>
    <w:rsid w:val="12C16B54"/>
    <w:rsid w:val="12C45A98"/>
    <w:rsid w:val="12C65394"/>
    <w:rsid w:val="12CC09B7"/>
    <w:rsid w:val="12D91418"/>
    <w:rsid w:val="12DB2C89"/>
    <w:rsid w:val="12DD6453"/>
    <w:rsid w:val="12EA0856"/>
    <w:rsid w:val="12EB5404"/>
    <w:rsid w:val="12FF2994"/>
    <w:rsid w:val="130C61F7"/>
    <w:rsid w:val="131446F4"/>
    <w:rsid w:val="13280679"/>
    <w:rsid w:val="133276F7"/>
    <w:rsid w:val="13406BD3"/>
    <w:rsid w:val="13435DFC"/>
    <w:rsid w:val="134411FE"/>
    <w:rsid w:val="13444F2D"/>
    <w:rsid w:val="1345606B"/>
    <w:rsid w:val="134A0A16"/>
    <w:rsid w:val="13580F64"/>
    <w:rsid w:val="136972A1"/>
    <w:rsid w:val="1384781A"/>
    <w:rsid w:val="13866F53"/>
    <w:rsid w:val="139F1CC8"/>
    <w:rsid w:val="13AA7B70"/>
    <w:rsid w:val="13BE3829"/>
    <w:rsid w:val="13CF7BB5"/>
    <w:rsid w:val="13D734C9"/>
    <w:rsid w:val="13D760E2"/>
    <w:rsid w:val="140B4FC3"/>
    <w:rsid w:val="14445C6E"/>
    <w:rsid w:val="144A5B2F"/>
    <w:rsid w:val="145E6E6F"/>
    <w:rsid w:val="14680CD1"/>
    <w:rsid w:val="14776E1E"/>
    <w:rsid w:val="147E70D1"/>
    <w:rsid w:val="14806CB0"/>
    <w:rsid w:val="14810D12"/>
    <w:rsid w:val="14880D88"/>
    <w:rsid w:val="14A81DD7"/>
    <w:rsid w:val="14B47E6A"/>
    <w:rsid w:val="14B55DE7"/>
    <w:rsid w:val="14B57963"/>
    <w:rsid w:val="14BB1E9B"/>
    <w:rsid w:val="14D8399C"/>
    <w:rsid w:val="14DA4B8F"/>
    <w:rsid w:val="14DE5259"/>
    <w:rsid w:val="14E8515A"/>
    <w:rsid w:val="14F3447C"/>
    <w:rsid w:val="14F71D54"/>
    <w:rsid w:val="150B13BA"/>
    <w:rsid w:val="150B27BE"/>
    <w:rsid w:val="15177C78"/>
    <w:rsid w:val="152215F5"/>
    <w:rsid w:val="1533366F"/>
    <w:rsid w:val="15426E6F"/>
    <w:rsid w:val="15470E7E"/>
    <w:rsid w:val="15534DBE"/>
    <w:rsid w:val="156B6617"/>
    <w:rsid w:val="15805951"/>
    <w:rsid w:val="158201A9"/>
    <w:rsid w:val="15AB5793"/>
    <w:rsid w:val="15AD10A5"/>
    <w:rsid w:val="15B03FF0"/>
    <w:rsid w:val="15C914AC"/>
    <w:rsid w:val="15CA237E"/>
    <w:rsid w:val="15CE7851"/>
    <w:rsid w:val="15D10EB6"/>
    <w:rsid w:val="15D85ED3"/>
    <w:rsid w:val="15E868E6"/>
    <w:rsid w:val="15EC3980"/>
    <w:rsid w:val="15F51783"/>
    <w:rsid w:val="15FA03F6"/>
    <w:rsid w:val="16041875"/>
    <w:rsid w:val="160967BB"/>
    <w:rsid w:val="160C7A93"/>
    <w:rsid w:val="16145280"/>
    <w:rsid w:val="162B26A3"/>
    <w:rsid w:val="165009AD"/>
    <w:rsid w:val="165900C0"/>
    <w:rsid w:val="165B6752"/>
    <w:rsid w:val="167F3FDC"/>
    <w:rsid w:val="168F67EB"/>
    <w:rsid w:val="16AE336B"/>
    <w:rsid w:val="16B61095"/>
    <w:rsid w:val="16BA1463"/>
    <w:rsid w:val="16C40D97"/>
    <w:rsid w:val="16F04C67"/>
    <w:rsid w:val="16F64E54"/>
    <w:rsid w:val="16FB32CD"/>
    <w:rsid w:val="17000760"/>
    <w:rsid w:val="170C2EAE"/>
    <w:rsid w:val="1711354C"/>
    <w:rsid w:val="171E1FE8"/>
    <w:rsid w:val="172D0291"/>
    <w:rsid w:val="173B15B0"/>
    <w:rsid w:val="17405843"/>
    <w:rsid w:val="174B5CE2"/>
    <w:rsid w:val="174C3F32"/>
    <w:rsid w:val="175D08DF"/>
    <w:rsid w:val="177D7C66"/>
    <w:rsid w:val="178E13EE"/>
    <w:rsid w:val="1797096A"/>
    <w:rsid w:val="17B06935"/>
    <w:rsid w:val="17D31922"/>
    <w:rsid w:val="17D45DCB"/>
    <w:rsid w:val="17DD03FD"/>
    <w:rsid w:val="17DE2F9C"/>
    <w:rsid w:val="17E568B5"/>
    <w:rsid w:val="17F03F41"/>
    <w:rsid w:val="181409D0"/>
    <w:rsid w:val="181677B7"/>
    <w:rsid w:val="181B2410"/>
    <w:rsid w:val="182C2BC7"/>
    <w:rsid w:val="18553F6E"/>
    <w:rsid w:val="186C0B6F"/>
    <w:rsid w:val="189A09A0"/>
    <w:rsid w:val="189E339F"/>
    <w:rsid w:val="18A143EB"/>
    <w:rsid w:val="18A36E87"/>
    <w:rsid w:val="18AE77D1"/>
    <w:rsid w:val="18B2540D"/>
    <w:rsid w:val="18CA7BBE"/>
    <w:rsid w:val="18E471B9"/>
    <w:rsid w:val="1909464D"/>
    <w:rsid w:val="191C3237"/>
    <w:rsid w:val="19251239"/>
    <w:rsid w:val="19266EF8"/>
    <w:rsid w:val="19295CAC"/>
    <w:rsid w:val="19350009"/>
    <w:rsid w:val="19383C58"/>
    <w:rsid w:val="193A07D8"/>
    <w:rsid w:val="19424CF6"/>
    <w:rsid w:val="19442E33"/>
    <w:rsid w:val="194E7953"/>
    <w:rsid w:val="1952734A"/>
    <w:rsid w:val="195E3801"/>
    <w:rsid w:val="196633F4"/>
    <w:rsid w:val="196C0FD5"/>
    <w:rsid w:val="197C019B"/>
    <w:rsid w:val="19A70125"/>
    <w:rsid w:val="19AB5CD7"/>
    <w:rsid w:val="19B37E1E"/>
    <w:rsid w:val="19C068A5"/>
    <w:rsid w:val="19C0706B"/>
    <w:rsid w:val="19D051A3"/>
    <w:rsid w:val="19D4394B"/>
    <w:rsid w:val="19D51A3C"/>
    <w:rsid w:val="19F21618"/>
    <w:rsid w:val="19FF55AC"/>
    <w:rsid w:val="1A0226FF"/>
    <w:rsid w:val="1A056ECC"/>
    <w:rsid w:val="1A2D425C"/>
    <w:rsid w:val="1A3A1A78"/>
    <w:rsid w:val="1A3F05EF"/>
    <w:rsid w:val="1A3F274D"/>
    <w:rsid w:val="1A4A1B8A"/>
    <w:rsid w:val="1A524B2E"/>
    <w:rsid w:val="1A593625"/>
    <w:rsid w:val="1A5E2728"/>
    <w:rsid w:val="1A6B7FEF"/>
    <w:rsid w:val="1A931BBB"/>
    <w:rsid w:val="1A9A6727"/>
    <w:rsid w:val="1AAA5B81"/>
    <w:rsid w:val="1AAC0005"/>
    <w:rsid w:val="1AB93B04"/>
    <w:rsid w:val="1ADE7F9A"/>
    <w:rsid w:val="1AE06B41"/>
    <w:rsid w:val="1AE36C17"/>
    <w:rsid w:val="1B0A4EF2"/>
    <w:rsid w:val="1B1B5FCE"/>
    <w:rsid w:val="1B5D735F"/>
    <w:rsid w:val="1B5F6BDF"/>
    <w:rsid w:val="1B7005EE"/>
    <w:rsid w:val="1B747184"/>
    <w:rsid w:val="1B7E4D27"/>
    <w:rsid w:val="1B7F4379"/>
    <w:rsid w:val="1B96464C"/>
    <w:rsid w:val="1BBC7A08"/>
    <w:rsid w:val="1BBF0B34"/>
    <w:rsid w:val="1BDB31A4"/>
    <w:rsid w:val="1C14679F"/>
    <w:rsid w:val="1C1B5D71"/>
    <w:rsid w:val="1C33763A"/>
    <w:rsid w:val="1C337E2A"/>
    <w:rsid w:val="1C384B3F"/>
    <w:rsid w:val="1C5317FA"/>
    <w:rsid w:val="1C54689C"/>
    <w:rsid w:val="1C6B5530"/>
    <w:rsid w:val="1C9168A3"/>
    <w:rsid w:val="1C994EF2"/>
    <w:rsid w:val="1C9E4040"/>
    <w:rsid w:val="1C9E492C"/>
    <w:rsid w:val="1CAF6700"/>
    <w:rsid w:val="1CB43B0E"/>
    <w:rsid w:val="1CB67C5B"/>
    <w:rsid w:val="1CB76694"/>
    <w:rsid w:val="1CC61A56"/>
    <w:rsid w:val="1CCF0DB9"/>
    <w:rsid w:val="1CD20A6A"/>
    <w:rsid w:val="1CDB4916"/>
    <w:rsid w:val="1CE370F8"/>
    <w:rsid w:val="1CF40692"/>
    <w:rsid w:val="1CFB6657"/>
    <w:rsid w:val="1D052214"/>
    <w:rsid w:val="1D0B7321"/>
    <w:rsid w:val="1D23314F"/>
    <w:rsid w:val="1D2D719A"/>
    <w:rsid w:val="1D3138CA"/>
    <w:rsid w:val="1D360C44"/>
    <w:rsid w:val="1D49037A"/>
    <w:rsid w:val="1D751EBE"/>
    <w:rsid w:val="1D7555D0"/>
    <w:rsid w:val="1D7C6753"/>
    <w:rsid w:val="1D7D4650"/>
    <w:rsid w:val="1DC003A6"/>
    <w:rsid w:val="1DC67E39"/>
    <w:rsid w:val="1DCE4F87"/>
    <w:rsid w:val="1DD524C2"/>
    <w:rsid w:val="1DED0D21"/>
    <w:rsid w:val="1DEF6CA4"/>
    <w:rsid w:val="1DFD6C15"/>
    <w:rsid w:val="1E05537D"/>
    <w:rsid w:val="1E0C4086"/>
    <w:rsid w:val="1E15148F"/>
    <w:rsid w:val="1E2921E1"/>
    <w:rsid w:val="1E38473F"/>
    <w:rsid w:val="1E40651B"/>
    <w:rsid w:val="1E411D68"/>
    <w:rsid w:val="1E495492"/>
    <w:rsid w:val="1E566017"/>
    <w:rsid w:val="1E653F62"/>
    <w:rsid w:val="1E7A47D4"/>
    <w:rsid w:val="1E96607C"/>
    <w:rsid w:val="1E966337"/>
    <w:rsid w:val="1E9B3C13"/>
    <w:rsid w:val="1E9E630D"/>
    <w:rsid w:val="1EA36639"/>
    <w:rsid w:val="1EA80D92"/>
    <w:rsid w:val="1ECB65F8"/>
    <w:rsid w:val="1ED43FFA"/>
    <w:rsid w:val="1ED81ABD"/>
    <w:rsid w:val="1EDA0D24"/>
    <w:rsid w:val="1EDC1439"/>
    <w:rsid w:val="1EE20AA5"/>
    <w:rsid w:val="1EE72542"/>
    <w:rsid w:val="1EE749F3"/>
    <w:rsid w:val="1EEA24C4"/>
    <w:rsid w:val="1EF409EB"/>
    <w:rsid w:val="1EF734BB"/>
    <w:rsid w:val="1EF95849"/>
    <w:rsid w:val="1F185024"/>
    <w:rsid w:val="1F190695"/>
    <w:rsid w:val="1F1D3242"/>
    <w:rsid w:val="1F294D8C"/>
    <w:rsid w:val="1F307DF0"/>
    <w:rsid w:val="1F331450"/>
    <w:rsid w:val="1F346D02"/>
    <w:rsid w:val="1F415860"/>
    <w:rsid w:val="1F4461A8"/>
    <w:rsid w:val="1F70563C"/>
    <w:rsid w:val="1F743244"/>
    <w:rsid w:val="1F7A1FAA"/>
    <w:rsid w:val="1F8163C1"/>
    <w:rsid w:val="1F843814"/>
    <w:rsid w:val="1F937560"/>
    <w:rsid w:val="1F972FED"/>
    <w:rsid w:val="1FAD5B3A"/>
    <w:rsid w:val="1FB40FF1"/>
    <w:rsid w:val="1FBA241A"/>
    <w:rsid w:val="1FBA63FD"/>
    <w:rsid w:val="1FBF5046"/>
    <w:rsid w:val="1FC1494C"/>
    <w:rsid w:val="1FC92866"/>
    <w:rsid w:val="1FE320B2"/>
    <w:rsid w:val="1FE842F7"/>
    <w:rsid w:val="1FFE1ABD"/>
    <w:rsid w:val="20074C13"/>
    <w:rsid w:val="20341B5D"/>
    <w:rsid w:val="204247C4"/>
    <w:rsid w:val="20430250"/>
    <w:rsid w:val="204A712A"/>
    <w:rsid w:val="205E669C"/>
    <w:rsid w:val="20601DD6"/>
    <w:rsid w:val="20626866"/>
    <w:rsid w:val="206C7059"/>
    <w:rsid w:val="207043A7"/>
    <w:rsid w:val="20740147"/>
    <w:rsid w:val="20876839"/>
    <w:rsid w:val="208F2581"/>
    <w:rsid w:val="209426F3"/>
    <w:rsid w:val="20964AEE"/>
    <w:rsid w:val="20986507"/>
    <w:rsid w:val="209D2069"/>
    <w:rsid w:val="20AB7479"/>
    <w:rsid w:val="20AE5E7B"/>
    <w:rsid w:val="20B34F24"/>
    <w:rsid w:val="20B43CC1"/>
    <w:rsid w:val="20BB574E"/>
    <w:rsid w:val="20E2025F"/>
    <w:rsid w:val="211A6EBB"/>
    <w:rsid w:val="21454E92"/>
    <w:rsid w:val="21472A76"/>
    <w:rsid w:val="215E31CE"/>
    <w:rsid w:val="216B4DEB"/>
    <w:rsid w:val="216B623C"/>
    <w:rsid w:val="218A78D3"/>
    <w:rsid w:val="219648B7"/>
    <w:rsid w:val="219C01FC"/>
    <w:rsid w:val="21A67115"/>
    <w:rsid w:val="21B22D0E"/>
    <w:rsid w:val="21D160D0"/>
    <w:rsid w:val="21D3418C"/>
    <w:rsid w:val="21E965FB"/>
    <w:rsid w:val="220019E6"/>
    <w:rsid w:val="224765B2"/>
    <w:rsid w:val="22574235"/>
    <w:rsid w:val="226D6D79"/>
    <w:rsid w:val="227C48A0"/>
    <w:rsid w:val="228072D9"/>
    <w:rsid w:val="2287164C"/>
    <w:rsid w:val="229D0780"/>
    <w:rsid w:val="22A95259"/>
    <w:rsid w:val="22AE0C3A"/>
    <w:rsid w:val="22B450D1"/>
    <w:rsid w:val="22C04C8C"/>
    <w:rsid w:val="22D10666"/>
    <w:rsid w:val="22E1271B"/>
    <w:rsid w:val="22EF2203"/>
    <w:rsid w:val="230F63E6"/>
    <w:rsid w:val="231207A0"/>
    <w:rsid w:val="23173FE9"/>
    <w:rsid w:val="23253E3F"/>
    <w:rsid w:val="23336849"/>
    <w:rsid w:val="23364C48"/>
    <w:rsid w:val="233D472A"/>
    <w:rsid w:val="23445DB3"/>
    <w:rsid w:val="23486D2C"/>
    <w:rsid w:val="234B4A28"/>
    <w:rsid w:val="23637FBE"/>
    <w:rsid w:val="23686479"/>
    <w:rsid w:val="236B0942"/>
    <w:rsid w:val="23951CF7"/>
    <w:rsid w:val="23B0503F"/>
    <w:rsid w:val="23BD3D7E"/>
    <w:rsid w:val="23D84DFF"/>
    <w:rsid w:val="23D87E19"/>
    <w:rsid w:val="23E408F8"/>
    <w:rsid w:val="23F5083C"/>
    <w:rsid w:val="240A38A9"/>
    <w:rsid w:val="24224704"/>
    <w:rsid w:val="24310006"/>
    <w:rsid w:val="243342E2"/>
    <w:rsid w:val="243B1C54"/>
    <w:rsid w:val="2441119B"/>
    <w:rsid w:val="244514B2"/>
    <w:rsid w:val="245128D1"/>
    <w:rsid w:val="24535EC6"/>
    <w:rsid w:val="2459128F"/>
    <w:rsid w:val="245C4A4D"/>
    <w:rsid w:val="246D5081"/>
    <w:rsid w:val="24737E7B"/>
    <w:rsid w:val="247B05E6"/>
    <w:rsid w:val="247D4B0A"/>
    <w:rsid w:val="24802083"/>
    <w:rsid w:val="24923206"/>
    <w:rsid w:val="249655FE"/>
    <w:rsid w:val="249C44B0"/>
    <w:rsid w:val="249E14D3"/>
    <w:rsid w:val="24A0291D"/>
    <w:rsid w:val="24D9114B"/>
    <w:rsid w:val="24E7668A"/>
    <w:rsid w:val="24F41907"/>
    <w:rsid w:val="25201254"/>
    <w:rsid w:val="25403F09"/>
    <w:rsid w:val="2540771C"/>
    <w:rsid w:val="25423EAB"/>
    <w:rsid w:val="25441CF5"/>
    <w:rsid w:val="254B199E"/>
    <w:rsid w:val="25511709"/>
    <w:rsid w:val="25771040"/>
    <w:rsid w:val="25820221"/>
    <w:rsid w:val="258E6478"/>
    <w:rsid w:val="25993527"/>
    <w:rsid w:val="259A2DAD"/>
    <w:rsid w:val="25AB61ED"/>
    <w:rsid w:val="25BC14A1"/>
    <w:rsid w:val="25C35532"/>
    <w:rsid w:val="25C627A7"/>
    <w:rsid w:val="25CC5774"/>
    <w:rsid w:val="25D670E0"/>
    <w:rsid w:val="25EF4CF7"/>
    <w:rsid w:val="25FA451E"/>
    <w:rsid w:val="25FC5F11"/>
    <w:rsid w:val="25FF0985"/>
    <w:rsid w:val="26133EDD"/>
    <w:rsid w:val="262D4B30"/>
    <w:rsid w:val="264B4363"/>
    <w:rsid w:val="266C1E7B"/>
    <w:rsid w:val="26881241"/>
    <w:rsid w:val="2693106A"/>
    <w:rsid w:val="26A6270F"/>
    <w:rsid w:val="26AE63B1"/>
    <w:rsid w:val="26B50D1C"/>
    <w:rsid w:val="26B55556"/>
    <w:rsid w:val="26B95700"/>
    <w:rsid w:val="26BF5C23"/>
    <w:rsid w:val="26DE603B"/>
    <w:rsid w:val="26E547E2"/>
    <w:rsid w:val="26EE487B"/>
    <w:rsid w:val="26FB1810"/>
    <w:rsid w:val="26FB5DC0"/>
    <w:rsid w:val="27027DEC"/>
    <w:rsid w:val="27155AF3"/>
    <w:rsid w:val="27180611"/>
    <w:rsid w:val="2729284B"/>
    <w:rsid w:val="273B5674"/>
    <w:rsid w:val="274479D4"/>
    <w:rsid w:val="275F7674"/>
    <w:rsid w:val="27764A23"/>
    <w:rsid w:val="277C56E0"/>
    <w:rsid w:val="277D7E35"/>
    <w:rsid w:val="2788150C"/>
    <w:rsid w:val="27A7221F"/>
    <w:rsid w:val="27A943E6"/>
    <w:rsid w:val="27B7717C"/>
    <w:rsid w:val="27D96BF6"/>
    <w:rsid w:val="27E62A7A"/>
    <w:rsid w:val="27FE3E14"/>
    <w:rsid w:val="280328E0"/>
    <w:rsid w:val="280D0D43"/>
    <w:rsid w:val="281B1B96"/>
    <w:rsid w:val="282759AB"/>
    <w:rsid w:val="28304F7B"/>
    <w:rsid w:val="283D312C"/>
    <w:rsid w:val="284A006F"/>
    <w:rsid w:val="284D52EA"/>
    <w:rsid w:val="28562A99"/>
    <w:rsid w:val="289E110A"/>
    <w:rsid w:val="28A218CE"/>
    <w:rsid w:val="28A7154B"/>
    <w:rsid w:val="28DB43D9"/>
    <w:rsid w:val="28E54CC1"/>
    <w:rsid w:val="28EB61E2"/>
    <w:rsid w:val="28F456BE"/>
    <w:rsid w:val="28FD5B29"/>
    <w:rsid w:val="29043E0C"/>
    <w:rsid w:val="29084BDF"/>
    <w:rsid w:val="290E3A1E"/>
    <w:rsid w:val="293346D1"/>
    <w:rsid w:val="29354034"/>
    <w:rsid w:val="293E2BCB"/>
    <w:rsid w:val="294014D8"/>
    <w:rsid w:val="296E7B23"/>
    <w:rsid w:val="297252DC"/>
    <w:rsid w:val="297E44F6"/>
    <w:rsid w:val="299C2399"/>
    <w:rsid w:val="29A3689F"/>
    <w:rsid w:val="29B55EDD"/>
    <w:rsid w:val="29B572A1"/>
    <w:rsid w:val="29C11212"/>
    <w:rsid w:val="29C1694D"/>
    <w:rsid w:val="29C87DF7"/>
    <w:rsid w:val="29D10AAF"/>
    <w:rsid w:val="29E25384"/>
    <w:rsid w:val="29ED4907"/>
    <w:rsid w:val="29F4544D"/>
    <w:rsid w:val="29FC7D7E"/>
    <w:rsid w:val="2A0253F6"/>
    <w:rsid w:val="2A074DD1"/>
    <w:rsid w:val="2A201981"/>
    <w:rsid w:val="2A242C9E"/>
    <w:rsid w:val="2A485418"/>
    <w:rsid w:val="2A4E015B"/>
    <w:rsid w:val="2A583507"/>
    <w:rsid w:val="2A645240"/>
    <w:rsid w:val="2A673E93"/>
    <w:rsid w:val="2A6B3762"/>
    <w:rsid w:val="2A7361CE"/>
    <w:rsid w:val="2A8D3091"/>
    <w:rsid w:val="2AAF27D2"/>
    <w:rsid w:val="2ABD16DB"/>
    <w:rsid w:val="2ACA4129"/>
    <w:rsid w:val="2ACC653E"/>
    <w:rsid w:val="2AD61EAF"/>
    <w:rsid w:val="2AE23349"/>
    <w:rsid w:val="2AF35FE2"/>
    <w:rsid w:val="2AFA1269"/>
    <w:rsid w:val="2B117AA7"/>
    <w:rsid w:val="2B272523"/>
    <w:rsid w:val="2B350E30"/>
    <w:rsid w:val="2B4844F9"/>
    <w:rsid w:val="2B4E2C7A"/>
    <w:rsid w:val="2B5C2657"/>
    <w:rsid w:val="2B5E0A77"/>
    <w:rsid w:val="2B723840"/>
    <w:rsid w:val="2B7602C0"/>
    <w:rsid w:val="2BA62549"/>
    <w:rsid w:val="2BAA7693"/>
    <w:rsid w:val="2BC44FE4"/>
    <w:rsid w:val="2BC90835"/>
    <w:rsid w:val="2BCB5889"/>
    <w:rsid w:val="2BDF312F"/>
    <w:rsid w:val="2BF829F4"/>
    <w:rsid w:val="2BFD7E8B"/>
    <w:rsid w:val="2C070DBF"/>
    <w:rsid w:val="2C2045B2"/>
    <w:rsid w:val="2C2368C5"/>
    <w:rsid w:val="2C3034C5"/>
    <w:rsid w:val="2C641D98"/>
    <w:rsid w:val="2C682547"/>
    <w:rsid w:val="2C6B1172"/>
    <w:rsid w:val="2CA67A3D"/>
    <w:rsid w:val="2CAB6F19"/>
    <w:rsid w:val="2CBC1024"/>
    <w:rsid w:val="2CCA1E0A"/>
    <w:rsid w:val="2CD730B5"/>
    <w:rsid w:val="2CD80D19"/>
    <w:rsid w:val="2CD82F8A"/>
    <w:rsid w:val="2CE35492"/>
    <w:rsid w:val="2CEC20CD"/>
    <w:rsid w:val="2CF1763C"/>
    <w:rsid w:val="2CFC7579"/>
    <w:rsid w:val="2D12435D"/>
    <w:rsid w:val="2D2613E8"/>
    <w:rsid w:val="2D285128"/>
    <w:rsid w:val="2D2B2B1B"/>
    <w:rsid w:val="2D3605F0"/>
    <w:rsid w:val="2D3B1C41"/>
    <w:rsid w:val="2D400ECC"/>
    <w:rsid w:val="2D431370"/>
    <w:rsid w:val="2D473F05"/>
    <w:rsid w:val="2D4B45D6"/>
    <w:rsid w:val="2D504361"/>
    <w:rsid w:val="2D5330E8"/>
    <w:rsid w:val="2D5510E3"/>
    <w:rsid w:val="2D5B4FFA"/>
    <w:rsid w:val="2D60175B"/>
    <w:rsid w:val="2D660108"/>
    <w:rsid w:val="2D9C3DF9"/>
    <w:rsid w:val="2DB5067F"/>
    <w:rsid w:val="2DC245F3"/>
    <w:rsid w:val="2DD235AB"/>
    <w:rsid w:val="2DE45F40"/>
    <w:rsid w:val="2DE46AF3"/>
    <w:rsid w:val="2DEA3360"/>
    <w:rsid w:val="2DF52448"/>
    <w:rsid w:val="2DFA3E9F"/>
    <w:rsid w:val="2DFE3882"/>
    <w:rsid w:val="2DFE7570"/>
    <w:rsid w:val="2DFF27ED"/>
    <w:rsid w:val="2E0312CC"/>
    <w:rsid w:val="2E0B5873"/>
    <w:rsid w:val="2E0C17BE"/>
    <w:rsid w:val="2E1A78B6"/>
    <w:rsid w:val="2E44767C"/>
    <w:rsid w:val="2E462AB4"/>
    <w:rsid w:val="2E5672F8"/>
    <w:rsid w:val="2E5B3716"/>
    <w:rsid w:val="2E763640"/>
    <w:rsid w:val="2E874638"/>
    <w:rsid w:val="2E974F78"/>
    <w:rsid w:val="2EAD7AAC"/>
    <w:rsid w:val="2EC3171B"/>
    <w:rsid w:val="2ED0122E"/>
    <w:rsid w:val="2EDE0019"/>
    <w:rsid w:val="2F0255FA"/>
    <w:rsid w:val="2F0B344E"/>
    <w:rsid w:val="2F0E50BC"/>
    <w:rsid w:val="2F0F60A1"/>
    <w:rsid w:val="2F2125B6"/>
    <w:rsid w:val="2F3402B2"/>
    <w:rsid w:val="2F4010BD"/>
    <w:rsid w:val="2F413F9A"/>
    <w:rsid w:val="2F51222E"/>
    <w:rsid w:val="2F5C3B54"/>
    <w:rsid w:val="2F601100"/>
    <w:rsid w:val="2F627509"/>
    <w:rsid w:val="2F7D5450"/>
    <w:rsid w:val="2F843965"/>
    <w:rsid w:val="2F856D04"/>
    <w:rsid w:val="2F9364AA"/>
    <w:rsid w:val="2F977096"/>
    <w:rsid w:val="2F986B5D"/>
    <w:rsid w:val="2FA12BE0"/>
    <w:rsid w:val="2FBF408B"/>
    <w:rsid w:val="2FC81E27"/>
    <w:rsid w:val="2FCB7223"/>
    <w:rsid w:val="2FD535F1"/>
    <w:rsid w:val="2FD9517D"/>
    <w:rsid w:val="2FE13005"/>
    <w:rsid w:val="2FE435BE"/>
    <w:rsid w:val="2FE64395"/>
    <w:rsid w:val="2FFB2654"/>
    <w:rsid w:val="2FFB5A42"/>
    <w:rsid w:val="301B4F87"/>
    <w:rsid w:val="302E6887"/>
    <w:rsid w:val="30464687"/>
    <w:rsid w:val="304768CE"/>
    <w:rsid w:val="3057344B"/>
    <w:rsid w:val="30717469"/>
    <w:rsid w:val="30C25449"/>
    <w:rsid w:val="30D1538A"/>
    <w:rsid w:val="30E90060"/>
    <w:rsid w:val="30E919AF"/>
    <w:rsid w:val="30F070A0"/>
    <w:rsid w:val="30FD0F77"/>
    <w:rsid w:val="3101490F"/>
    <w:rsid w:val="31052C6D"/>
    <w:rsid w:val="31067FFA"/>
    <w:rsid w:val="31135FAE"/>
    <w:rsid w:val="312F3964"/>
    <w:rsid w:val="31555454"/>
    <w:rsid w:val="31605AA9"/>
    <w:rsid w:val="3166316D"/>
    <w:rsid w:val="316D272F"/>
    <w:rsid w:val="31750981"/>
    <w:rsid w:val="317753BC"/>
    <w:rsid w:val="317E4ADB"/>
    <w:rsid w:val="31A06D0A"/>
    <w:rsid w:val="31B14B71"/>
    <w:rsid w:val="31BB3B28"/>
    <w:rsid w:val="31C93D02"/>
    <w:rsid w:val="31CE6AFD"/>
    <w:rsid w:val="31DE0860"/>
    <w:rsid w:val="31E1791A"/>
    <w:rsid w:val="31F31F4C"/>
    <w:rsid w:val="32113150"/>
    <w:rsid w:val="32132A71"/>
    <w:rsid w:val="321734F5"/>
    <w:rsid w:val="322361BB"/>
    <w:rsid w:val="32236DA9"/>
    <w:rsid w:val="322D114D"/>
    <w:rsid w:val="322F56D7"/>
    <w:rsid w:val="323E00E5"/>
    <w:rsid w:val="324368C2"/>
    <w:rsid w:val="324565CC"/>
    <w:rsid w:val="32554C2E"/>
    <w:rsid w:val="325A77A0"/>
    <w:rsid w:val="326B49B7"/>
    <w:rsid w:val="32791651"/>
    <w:rsid w:val="32797DB5"/>
    <w:rsid w:val="32887EAD"/>
    <w:rsid w:val="328A7004"/>
    <w:rsid w:val="32946CE9"/>
    <w:rsid w:val="32951E90"/>
    <w:rsid w:val="32B671F1"/>
    <w:rsid w:val="32B96F2D"/>
    <w:rsid w:val="32BE76D2"/>
    <w:rsid w:val="32C94A5E"/>
    <w:rsid w:val="32E75275"/>
    <w:rsid w:val="32F20E7B"/>
    <w:rsid w:val="32F45FC7"/>
    <w:rsid w:val="32F83BD4"/>
    <w:rsid w:val="32FB697F"/>
    <w:rsid w:val="331B2B89"/>
    <w:rsid w:val="33444D87"/>
    <w:rsid w:val="335B2846"/>
    <w:rsid w:val="335D430E"/>
    <w:rsid w:val="33604026"/>
    <w:rsid w:val="33716F1C"/>
    <w:rsid w:val="33B06E10"/>
    <w:rsid w:val="33D474B3"/>
    <w:rsid w:val="33DB5564"/>
    <w:rsid w:val="33DD4C76"/>
    <w:rsid w:val="33E36224"/>
    <w:rsid w:val="33EF2655"/>
    <w:rsid w:val="33F72FE7"/>
    <w:rsid w:val="34362BC5"/>
    <w:rsid w:val="344A0B48"/>
    <w:rsid w:val="34557AE4"/>
    <w:rsid w:val="345728A2"/>
    <w:rsid w:val="346E17B5"/>
    <w:rsid w:val="347214E5"/>
    <w:rsid w:val="34747B5A"/>
    <w:rsid w:val="347E2353"/>
    <w:rsid w:val="347E56F7"/>
    <w:rsid w:val="34833AB7"/>
    <w:rsid w:val="348C566B"/>
    <w:rsid w:val="348D4BE5"/>
    <w:rsid w:val="348F1CF4"/>
    <w:rsid w:val="34993DFA"/>
    <w:rsid w:val="34A626DE"/>
    <w:rsid w:val="34A651B1"/>
    <w:rsid w:val="34B54742"/>
    <w:rsid w:val="34B93332"/>
    <w:rsid w:val="34BF77FE"/>
    <w:rsid w:val="34D92800"/>
    <w:rsid w:val="34DD17BB"/>
    <w:rsid w:val="34E15E06"/>
    <w:rsid w:val="34F53172"/>
    <w:rsid w:val="34FD36E3"/>
    <w:rsid w:val="35005B9E"/>
    <w:rsid w:val="350B2D5B"/>
    <w:rsid w:val="350C7C39"/>
    <w:rsid w:val="351241A5"/>
    <w:rsid w:val="35134062"/>
    <w:rsid w:val="3515442D"/>
    <w:rsid w:val="3516792A"/>
    <w:rsid w:val="35246EC1"/>
    <w:rsid w:val="35293D37"/>
    <w:rsid w:val="35361100"/>
    <w:rsid w:val="354A4A0E"/>
    <w:rsid w:val="3552210C"/>
    <w:rsid w:val="35595834"/>
    <w:rsid w:val="35641422"/>
    <w:rsid w:val="35772D0F"/>
    <w:rsid w:val="35957E7A"/>
    <w:rsid w:val="35987763"/>
    <w:rsid w:val="35A92A3F"/>
    <w:rsid w:val="35AE7AB6"/>
    <w:rsid w:val="35B624F4"/>
    <w:rsid w:val="35DB7D12"/>
    <w:rsid w:val="35F039C3"/>
    <w:rsid w:val="35F674DB"/>
    <w:rsid w:val="35F74487"/>
    <w:rsid w:val="3620665B"/>
    <w:rsid w:val="362132DA"/>
    <w:rsid w:val="36480C71"/>
    <w:rsid w:val="36496EED"/>
    <w:rsid w:val="365115F6"/>
    <w:rsid w:val="3658173F"/>
    <w:rsid w:val="365851FA"/>
    <w:rsid w:val="3679296C"/>
    <w:rsid w:val="3685620C"/>
    <w:rsid w:val="368A6405"/>
    <w:rsid w:val="368E2952"/>
    <w:rsid w:val="36990300"/>
    <w:rsid w:val="36B51800"/>
    <w:rsid w:val="36C27D9C"/>
    <w:rsid w:val="36C72672"/>
    <w:rsid w:val="36EA511F"/>
    <w:rsid w:val="36F9174B"/>
    <w:rsid w:val="370E31AC"/>
    <w:rsid w:val="37127CFA"/>
    <w:rsid w:val="3719346E"/>
    <w:rsid w:val="371C30CE"/>
    <w:rsid w:val="371D6C67"/>
    <w:rsid w:val="372B09DB"/>
    <w:rsid w:val="372F56C1"/>
    <w:rsid w:val="3734044A"/>
    <w:rsid w:val="373F2DD6"/>
    <w:rsid w:val="374D338C"/>
    <w:rsid w:val="374E1F7E"/>
    <w:rsid w:val="376568BA"/>
    <w:rsid w:val="376664DA"/>
    <w:rsid w:val="37710FAC"/>
    <w:rsid w:val="37747911"/>
    <w:rsid w:val="377C3CD0"/>
    <w:rsid w:val="37870302"/>
    <w:rsid w:val="3791004A"/>
    <w:rsid w:val="37986D21"/>
    <w:rsid w:val="37A6417A"/>
    <w:rsid w:val="37A86119"/>
    <w:rsid w:val="37C215D7"/>
    <w:rsid w:val="37D33FC9"/>
    <w:rsid w:val="38114FB2"/>
    <w:rsid w:val="38127876"/>
    <w:rsid w:val="381C7E9F"/>
    <w:rsid w:val="3822215B"/>
    <w:rsid w:val="38280D0D"/>
    <w:rsid w:val="38375E62"/>
    <w:rsid w:val="38650DD4"/>
    <w:rsid w:val="38671507"/>
    <w:rsid w:val="389449EC"/>
    <w:rsid w:val="38982179"/>
    <w:rsid w:val="38A02E9C"/>
    <w:rsid w:val="38A13838"/>
    <w:rsid w:val="38CF7334"/>
    <w:rsid w:val="38D17360"/>
    <w:rsid w:val="38D55E4A"/>
    <w:rsid w:val="38D949F6"/>
    <w:rsid w:val="38E1749B"/>
    <w:rsid w:val="38E81BFD"/>
    <w:rsid w:val="390E21D2"/>
    <w:rsid w:val="3918150F"/>
    <w:rsid w:val="391A2C57"/>
    <w:rsid w:val="39272541"/>
    <w:rsid w:val="39316B31"/>
    <w:rsid w:val="393A2224"/>
    <w:rsid w:val="393A7426"/>
    <w:rsid w:val="393D35C1"/>
    <w:rsid w:val="3940103B"/>
    <w:rsid w:val="39495DC9"/>
    <w:rsid w:val="394B2B3F"/>
    <w:rsid w:val="3958253C"/>
    <w:rsid w:val="397A03A4"/>
    <w:rsid w:val="39890E6A"/>
    <w:rsid w:val="398D224F"/>
    <w:rsid w:val="399A0B82"/>
    <w:rsid w:val="39B67A7B"/>
    <w:rsid w:val="39C77D92"/>
    <w:rsid w:val="39E2419C"/>
    <w:rsid w:val="3A0D02DB"/>
    <w:rsid w:val="3A181893"/>
    <w:rsid w:val="3A2D6DD9"/>
    <w:rsid w:val="3A4911C3"/>
    <w:rsid w:val="3A6137E4"/>
    <w:rsid w:val="3A655150"/>
    <w:rsid w:val="3A72133A"/>
    <w:rsid w:val="3A89774D"/>
    <w:rsid w:val="3A8A4918"/>
    <w:rsid w:val="3A972EB5"/>
    <w:rsid w:val="3A977ED1"/>
    <w:rsid w:val="3A977F57"/>
    <w:rsid w:val="3A9F4BE6"/>
    <w:rsid w:val="3AB444F0"/>
    <w:rsid w:val="3AC406BF"/>
    <w:rsid w:val="3AC509DB"/>
    <w:rsid w:val="3ACA6D87"/>
    <w:rsid w:val="3ACB63BE"/>
    <w:rsid w:val="3AD21E54"/>
    <w:rsid w:val="3B056E13"/>
    <w:rsid w:val="3B19442F"/>
    <w:rsid w:val="3B196597"/>
    <w:rsid w:val="3B1C4A0C"/>
    <w:rsid w:val="3B1D086D"/>
    <w:rsid w:val="3B3B6B49"/>
    <w:rsid w:val="3B7F0593"/>
    <w:rsid w:val="3B9A0EEC"/>
    <w:rsid w:val="3BA5246F"/>
    <w:rsid w:val="3BA71AFE"/>
    <w:rsid w:val="3BB53F1E"/>
    <w:rsid w:val="3BC568C9"/>
    <w:rsid w:val="3BD361A8"/>
    <w:rsid w:val="3BEE7798"/>
    <w:rsid w:val="3BF063D8"/>
    <w:rsid w:val="3BFC0F6A"/>
    <w:rsid w:val="3C0E7BC8"/>
    <w:rsid w:val="3C0F67AB"/>
    <w:rsid w:val="3C1F03E3"/>
    <w:rsid w:val="3C350748"/>
    <w:rsid w:val="3C385ACE"/>
    <w:rsid w:val="3C717C2A"/>
    <w:rsid w:val="3C7E240C"/>
    <w:rsid w:val="3C864220"/>
    <w:rsid w:val="3CAA445C"/>
    <w:rsid w:val="3CB42021"/>
    <w:rsid w:val="3CCC3CAF"/>
    <w:rsid w:val="3CCC556E"/>
    <w:rsid w:val="3CCE0FB5"/>
    <w:rsid w:val="3CCE7565"/>
    <w:rsid w:val="3CDB0FBB"/>
    <w:rsid w:val="3CE07B68"/>
    <w:rsid w:val="3CE21FA5"/>
    <w:rsid w:val="3CE259C0"/>
    <w:rsid w:val="3CE529BE"/>
    <w:rsid w:val="3CED3BC6"/>
    <w:rsid w:val="3CFB0417"/>
    <w:rsid w:val="3D181758"/>
    <w:rsid w:val="3D27470C"/>
    <w:rsid w:val="3D2E599F"/>
    <w:rsid w:val="3D386552"/>
    <w:rsid w:val="3D521AD6"/>
    <w:rsid w:val="3D55564E"/>
    <w:rsid w:val="3D592DAA"/>
    <w:rsid w:val="3D6D5E5D"/>
    <w:rsid w:val="3D6D759A"/>
    <w:rsid w:val="3D784762"/>
    <w:rsid w:val="3D796F78"/>
    <w:rsid w:val="3D7A0F4E"/>
    <w:rsid w:val="3D881201"/>
    <w:rsid w:val="3D8F736C"/>
    <w:rsid w:val="3D931088"/>
    <w:rsid w:val="3D95408E"/>
    <w:rsid w:val="3DA07332"/>
    <w:rsid w:val="3DBA6FE8"/>
    <w:rsid w:val="3DBC7FDA"/>
    <w:rsid w:val="3DE60E09"/>
    <w:rsid w:val="3DE6125B"/>
    <w:rsid w:val="3DE71DDE"/>
    <w:rsid w:val="3DFB0ED1"/>
    <w:rsid w:val="3E173A67"/>
    <w:rsid w:val="3E1A70B4"/>
    <w:rsid w:val="3E1A7A4B"/>
    <w:rsid w:val="3E1E24E9"/>
    <w:rsid w:val="3E1F555D"/>
    <w:rsid w:val="3E301E24"/>
    <w:rsid w:val="3E380BDD"/>
    <w:rsid w:val="3E3C724A"/>
    <w:rsid w:val="3E5333E4"/>
    <w:rsid w:val="3E7A0446"/>
    <w:rsid w:val="3E7A2248"/>
    <w:rsid w:val="3E8E3FE0"/>
    <w:rsid w:val="3EA42189"/>
    <w:rsid w:val="3EC409AE"/>
    <w:rsid w:val="3EC420B8"/>
    <w:rsid w:val="3EC45D0F"/>
    <w:rsid w:val="3ECA4A8F"/>
    <w:rsid w:val="3ECC4082"/>
    <w:rsid w:val="3EE87DFE"/>
    <w:rsid w:val="3F017231"/>
    <w:rsid w:val="3F146E43"/>
    <w:rsid w:val="3F1479DD"/>
    <w:rsid w:val="3F207573"/>
    <w:rsid w:val="3F3520E4"/>
    <w:rsid w:val="3F3A77D6"/>
    <w:rsid w:val="3F444972"/>
    <w:rsid w:val="3F46617C"/>
    <w:rsid w:val="3F4A1F08"/>
    <w:rsid w:val="3F5847B2"/>
    <w:rsid w:val="3F5A3F01"/>
    <w:rsid w:val="3F5A421C"/>
    <w:rsid w:val="3F5F43CB"/>
    <w:rsid w:val="3F676E85"/>
    <w:rsid w:val="3F6D1DE1"/>
    <w:rsid w:val="3F75236D"/>
    <w:rsid w:val="3F8418D1"/>
    <w:rsid w:val="3F876371"/>
    <w:rsid w:val="3F8A126F"/>
    <w:rsid w:val="3F980BD8"/>
    <w:rsid w:val="3FBB064A"/>
    <w:rsid w:val="3FC849D6"/>
    <w:rsid w:val="4004626D"/>
    <w:rsid w:val="40113E9D"/>
    <w:rsid w:val="402D684B"/>
    <w:rsid w:val="402F2ABC"/>
    <w:rsid w:val="403D352D"/>
    <w:rsid w:val="40460F8A"/>
    <w:rsid w:val="404F3CB6"/>
    <w:rsid w:val="40536EA4"/>
    <w:rsid w:val="406A4B18"/>
    <w:rsid w:val="407F3BF6"/>
    <w:rsid w:val="40854BD7"/>
    <w:rsid w:val="409100DF"/>
    <w:rsid w:val="409567F7"/>
    <w:rsid w:val="40997C04"/>
    <w:rsid w:val="40A4693A"/>
    <w:rsid w:val="40C56F3B"/>
    <w:rsid w:val="40D20A57"/>
    <w:rsid w:val="40EE5347"/>
    <w:rsid w:val="41026462"/>
    <w:rsid w:val="41034A77"/>
    <w:rsid w:val="41090CE7"/>
    <w:rsid w:val="410B1718"/>
    <w:rsid w:val="411B20CA"/>
    <w:rsid w:val="411C4C66"/>
    <w:rsid w:val="411E7F18"/>
    <w:rsid w:val="41286D40"/>
    <w:rsid w:val="413033AB"/>
    <w:rsid w:val="413F665C"/>
    <w:rsid w:val="41523A40"/>
    <w:rsid w:val="41563F18"/>
    <w:rsid w:val="415673F5"/>
    <w:rsid w:val="415C10E7"/>
    <w:rsid w:val="41642FE8"/>
    <w:rsid w:val="418733B5"/>
    <w:rsid w:val="419555A0"/>
    <w:rsid w:val="41A16654"/>
    <w:rsid w:val="41A374E7"/>
    <w:rsid w:val="41D71FB4"/>
    <w:rsid w:val="41E42CC5"/>
    <w:rsid w:val="42027407"/>
    <w:rsid w:val="4210725C"/>
    <w:rsid w:val="42371FF9"/>
    <w:rsid w:val="423D29E1"/>
    <w:rsid w:val="424D4018"/>
    <w:rsid w:val="424E282D"/>
    <w:rsid w:val="42531F83"/>
    <w:rsid w:val="42762776"/>
    <w:rsid w:val="42795D1D"/>
    <w:rsid w:val="427C1F02"/>
    <w:rsid w:val="42813255"/>
    <w:rsid w:val="428976DD"/>
    <w:rsid w:val="42962A2C"/>
    <w:rsid w:val="429B35C5"/>
    <w:rsid w:val="429F47CE"/>
    <w:rsid w:val="42A563E3"/>
    <w:rsid w:val="42AC42F4"/>
    <w:rsid w:val="42C13FA2"/>
    <w:rsid w:val="42CB503A"/>
    <w:rsid w:val="42E934C4"/>
    <w:rsid w:val="42EC0DB5"/>
    <w:rsid w:val="42ED0A0D"/>
    <w:rsid w:val="42F60E27"/>
    <w:rsid w:val="42FA5D0D"/>
    <w:rsid w:val="431D01BB"/>
    <w:rsid w:val="43244960"/>
    <w:rsid w:val="432478EB"/>
    <w:rsid w:val="4332408D"/>
    <w:rsid w:val="435C614D"/>
    <w:rsid w:val="436F65F7"/>
    <w:rsid w:val="438C126A"/>
    <w:rsid w:val="439A5F61"/>
    <w:rsid w:val="439F0D45"/>
    <w:rsid w:val="43C04365"/>
    <w:rsid w:val="43C3143F"/>
    <w:rsid w:val="43C3579C"/>
    <w:rsid w:val="43C7465B"/>
    <w:rsid w:val="43C749DA"/>
    <w:rsid w:val="43E05E32"/>
    <w:rsid w:val="43E07F96"/>
    <w:rsid w:val="43E3125E"/>
    <w:rsid w:val="44042A49"/>
    <w:rsid w:val="440621A2"/>
    <w:rsid w:val="44165E0B"/>
    <w:rsid w:val="442624A3"/>
    <w:rsid w:val="4431429C"/>
    <w:rsid w:val="4433694B"/>
    <w:rsid w:val="444A10C9"/>
    <w:rsid w:val="444E57BB"/>
    <w:rsid w:val="445150B2"/>
    <w:rsid w:val="44534EF1"/>
    <w:rsid w:val="44605696"/>
    <w:rsid w:val="44742D57"/>
    <w:rsid w:val="4478093E"/>
    <w:rsid w:val="449046F8"/>
    <w:rsid w:val="44A53C2C"/>
    <w:rsid w:val="44BE32EA"/>
    <w:rsid w:val="44C67F95"/>
    <w:rsid w:val="44C84A14"/>
    <w:rsid w:val="44D13640"/>
    <w:rsid w:val="44E05A7C"/>
    <w:rsid w:val="44EB6E26"/>
    <w:rsid w:val="4507210D"/>
    <w:rsid w:val="451603D8"/>
    <w:rsid w:val="45171AF5"/>
    <w:rsid w:val="45232EAB"/>
    <w:rsid w:val="453D2D7B"/>
    <w:rsid w:val="454629EC"/>
    <w:rsid w:val="454A791E"/>
    <w:rsid w:val="455E651F"/>
    <w:rsid w:val="45607EA7"/>
    <w:rsid w:val="456464AF"/>
    <w:rsid w:val="45673808"/>
    <w:rsid w:val="456776A2"/>
    <w:rsid w:val="456A47C3"/>
    <w:rsid w:val="456E6089"/>
    <w:rsid w:val="457B2B26"/>
    <w:rsid w:val="457F03BD"/>
    <w:rsid w:val="457F32F7"/>
    <w:rsid w:val="458844A3"/>
    <w:rsid w:val="459E78B2"/>
    <w:rsid w:val="45B84774"/>
    <w:rsid w:val="45D40A4B"/>
    <w:rsid w:val="45DA73C2"/>
    <w:rsid w:val="45DB0967"/>
    <w:rsid w:val="45ED4242"/>
    <w:rsid w:val="46057EF2"/>
    <w:rsid w:val="460C4CE3"/>
    <w:rsid w:val="461B2CB7"/>
    <w:rsid w:val="46217024"/>
    <w:rsid w:val="462825ED"/>
    <w:rsid w:val="463B630F"/>
    <w:rsid w:val="465E632F"/>
    <w:rsid w:val="46654F9E"/>
    <w:rsid w:val="46655BFF"/>
    <w:rsid w:val="466561CF"/>
    <w:rsid w:val="46844533"/>
    <w:rsid w:val="468E7F5D"/>
    <w:rsid w:val="46A6777B"/>
    <w:rsid w:val="46D75C32"/>
    <w:rsid w:val="46E56581"/>
    <w:rsid w:val="46F20754"/>
    <w:rsid w:val="46F238A9"/>
    <w:rsid w:val="46FB1F4F"/>
    <w:rsid w:val="46FE717E"/>
    <w:rsid w:val="46FF101E"/>
    <w:rsid w:val="473843EC"/>
    <w:rsid w:val="47530D66"/>
    <w:rsid w:val="47541743"/>
    <w:rsid w:val="475A54AE"/>
    <w:rsid w:val="475D1296"/>
    <w:rsid w:val="47621B7C"/>
    <w:rsid w:val="478669CB"/>
    <w:rsid w:val="47B82421"/>
    <w:rsid w:val="47BF7A9B"/>
    <w:rsid w:val="47C04DEB"/>
    <w:rsid w:val="47C70130"/>
    <w:rsid w:val="485715B1"/>
    <w:rsid w:val="485F5AFC"/>
    <w:rsid w:val="48977D9A"/>
    <w:rsid w:val="48994426"/>
    <w:rsid w:val="489C1CE3"/>
    <w:rsid w:val="48A22F8D"/>
    <w:rsid w:val="48C85CDD"/>
    <w:rsid w:val="48D05EEE"/>
    <w:rsid w:val="49327B88"/>
    <w:rsid w:val="495B6552"/>
    <w:rsid w:val="49711640"/>
    <w:rsid w:val="49934BB2"/>
    <w:rsid w:val="49956D7D"/>
    <w:rsid w:val="499C1AF8"/>
    <w:rsid w:val="499F4119"/>
    <w:rsid w:val="49A66871"/>
    <w:rsid w:val="49AD6652"/>
    <w:rsid w:val="49CA00A3"/>
    <w:rsid w:val="49CA174D"/>
    <w:rsid w:val="49D55261"/>
    <w:rsid w:val="49DD51E9"/>
    <w:rsid w:val="4A27652B"/>
    <w:rsid w:val="4A3E4006"/>
    <w:rsid w:val="4A413C1A"/>
    <w:rsid w:val="4A7439D0"/>
    <w:rsid w:val="4A7A49AD"/>
    <w:rsid w:val="4A7C21DD"/>
    <w:rsid w:val="4A897A9B"/>
    <w:rsid w:val="4A8F46F3"/>
    <w:rsid w:val="4A927CBF"/>
    <w:rsid w:val="4A98470F"/>
    <w:rsid w:val="4AB11BE2"/>
    <w:rsid w:val="4AC528BF"/>
    <w:rsid w:val="4AD244C7"/>
    <w:rsid w:val="4ADF4B7E"/>
    <w:rsid w:val="4AEA4604"/>
    <w:rsid w:val="4AEB6FFC"/>
    <w:rsid w:val="4B010BAC"/>
    <w:rsid w:val="4B227B86"/>
    <w:rsid w:val="4B47775D"/>
    <w:rsid w:val="4B5C0352"/>
    <w:rsid w:val="4B62517C"/>
    <w:rsid w:val="4B64763B"/>
    <w:rsid w:val="4B6B7983"/>
    <w:rsid w:val="4B707E65"/>
    <w:rsid w:val="4B721E88"/>
    <w:rsid w:val="4B7A35C1"/>
    <w:rsid w:val="4B82753A"/>
    <w:rsid w:val="4B911712"/>
    <w:rsid w:val="4B987F90"/>
    <w:rsid w:val="4BBB1BA6"/>
    <w:rsid w:val="4BC45CDB"/>
    <w:rsid w:val="4BCA49B9"/>
    <w:rsid w:val="4BF62346"/>
    <w:rsid w:val="4BF64753"/>
    <w:rsid w:val="4C0C7926"/>
    <w:rsid w:val="4C1238FE"/>
    <w:rsid w:val="4C165CF6"/>
    <w:rsid w:val="4C3D0A03"/>
    <w:rsid w:val="4C456C33"/>
    <w:rsid w:val="4C4B7B50"/>
    <w:rsid w:val="4C53720B"/>
    <w:rsid w:val="4C596AE5"/>
    <w:rsid w:val="4C686EF0"/>
    <w:rsid w:val="4C724DB6"/>
    <w:rsid w:val="4C7A75BD"/>
    <w:rsid w:val="4C8F35EC"/>
    <w:rsid w:val="4C933E36"/>
    <w:rsid w:val="4CAE5ADA"/>
    <w:rsid w:val="4CD81A1A"/>
    <w:rsid w:val="4CF408E9"/>
    <w:rsid w:val="4D0665C9"/>
    <w:rsid w:val="4D214029"/>
    <w:rsid w:val="4D226412"/>
    <w:rsid w:val="4D276A28"/>
    <w:rsid w:val="4D3271D0"/>
    <w:rsid w:val="4D3D403C"/>
    <w:rsid w:val="4D4B6051"/>
    <w:rsid w:val="4D4F6BF9"/>
    <w:rsid w:val="4D553431"/>
    <w:rsid w:val="4D5559A9"/>
    <w:rsid w:val="4D64183E"/>
    <w:rsid w:val="4D676229"/>
    <w:rsid w:val="4D6D4480"/>
    <w:rsid w:val="4D853C84"/>
    <w:rsid w:val="4D975DA2"/>
    <w:rsid w:val="4DAA16A9"/>
    <w:rsid w:val="4DB70FE9"/>
    <w:rsid w:val="4DD1576C"/>
    <w:rsid w:val="4DD52DC9"/>
    <w:rsid w:val="4E471394"/>
    <w:rsid w:val="4E6D6755"/>
    <w:rsid w:val="4E7239D4"/>
    <w:rsid w:val="4E752DAA"/>
    <w:rsid w:val="4E821079"/>
    <w:rsid w:val="4E90060B"/>
    <w:rsid w:val="4E9610FE"/>
    <w:rsid w:val="4ED60F86"/>
    <w:rsid w:val="4EFF5742"/>
    <w:rsid w:val="4F072A87"/>
    <w:rsid w:val="4F0A4EB5"/>
    <w:rsid w:val="4F154BBA"/>
    <w:rsid w:val="4F212FA0"/>
    <w:rsid w:val="4F765353"/>
    <w:rsid w:val="4F892273"/>
    <w:rsid w:val="4F904A43"/>
    <w:rsid w:val="4FAB59D9"/>
    <w:rsid w:val="4FBE7B4D"/>
    <w:rsid w:val="4FFA006A"/>
    <w:rsid w:val="4FFA5518"/>
    <w:rsid w:val="4FFB7BA6"/>
    <w:rsid w:val="50102443"/>
    <w:rsid w:val="502712F7"/>
    <w:rsid w:val="50414084"/>
    <w:rsid w:val="50493E5E"/>
    <w:rsid w:val="504B53B1"/>
    <w:rsid w:val="50687517"/>
    <w:rsid w:val="508262CA"/>
    <w:rsid w:val="508967F2"/>
    <w:rsid w:val="50A431BB"/>
    <w:rsid w:val="50FD459F"/>
    <w:rsid w:val="51077D24"/>
    <w:rsid w:val="510A2BF0"/>
    <w:rsid w:val="510A664E"/>
    <w:rsid w:val="51195215"/>
    <w:rsid w:val="511E6D06"/>
    <w:rsid w:val="513719D2"/>
    <w:rsid w:val="513A05DA"/>
    <w:rsid w:val="51464109"/>
    <w:rsid w:val="514F3676"/>
    <w:rsid w:val="514F5141"/>
    <w:rsid w:val="51562F30"/>
    <w:rsid w:val="515D0730"/>
    <w:rsid w:val="515D7E6D"/>
    <w:rsid w:val="51BF28BE"/>
    <w:rsid w:val="51D913F8"/>
    <w:rsid w:val="51DD6799"/>
    <w:rsid w:val="51EA1094"/>
    <w:rsid w:val="51EC03DD"/>
    <w:rsid w:val="51FD4FEC"/>
    <w:rsid w:val="520428D9"/>
    <w:rsid w:val="521A6BC2"/>
    <w:rsid w:val="52391F24"/>
    <w:rsid w:val="525A40A0"/>
    <w:rsid w:val="52653FAD"/>
    <w:rsid w:val="52703C32"/>
    <w:rsid w:val="528A3356"/>
    <w:rsid w:val="528E6F3A"/>
    <w:rsid w:val="52B040C3"/>
    <w:rsid w:val="52B86D02"/>
    <w:rsid w:val="52CE0B6B"/>
    <w:rsid w:val="52D37EF5"/>
    <w:rsid w:val="52D51664"/>
    <w:rsid w:val="52DC1040"/>
    <w:rsid w:val="52DF1F8A"/>
    <w:rsid w:val="52ED74EC"/>
    <w:rsid w:val="53045618"/>
    <w:rsid w:val="53086469"/>
    <w:rsid w:val="532C357A"/>
    <w:rsid w:val="533A1141"/>
    <w:rsid w:val="53491B8D"/>
    <w:rsid w:val="5350435A"/>
    <w:rsid w:val="53586E20"/>
    <w:rsid w:val="53622CEE"/>
    <w:rsid w:val="536F020E"/>
    <w:rsid w:val="53B5612C"/>
    <w:rsid w:val="53DB380A"/>
    <w:rsid w:val="53E956F9"/>
    <w:rsid w:val="53F613CC"/>
    <w:rsid w:val="53FF3F11"/>
    <w:rsid w:val="5408265E"/>
    <w:rsid w:val="54251D56"/>
    <w:rsid w:val="544673C0"/>
    <w:rsid w:val="546C06A4"/>
    <w:rsid w:val="546E7D01"/>
    <w:rsid w:val="546F383E"/>
    <w:rsid w:val="547A7A11"/>
    <w:rsid w:val="547B42D1"/>
    <w:rsid w:val="548139B4"/>
    <w:rsid w:val="548738EB"/>
    <w:rsid w:val="54927008"/>
    <w:rsid w:val="549E5953"/>
    <w:rsid w:val="54A7594B"/>
    <w:rsid w:val="54B74E80"/>
    <w:rsid w:val="54DA0533"/>
    <w:rsid w:val="54DC2355"/>
    <w:rsid w:val="54E71056"/>
    <w:rsid w:val="54EB1259"/>
    <w:rsid w:val="54F32EC0"/>
    <w:rsid w:val="54FA3343"/>
    <w:rsid w:val="551B32C0"/>
    <w:rsid w:val="55406080"/>
    <w:rsid w:val="554F34E9"/>
    <w:rsid w:val="5557351C"/>
    <w:rsid w:val="555C6EDD"/>
    <w:rsid w:val="5561104F"/>
    <w:rsid w:val="55686C02"/>
    <w:rsid w:val="55714C24"/>
    <w:rsid w:val="557E5D22"/>
    <w:rsid w:val="558F2986"/>
    <w:rsid w:val="559453AE"/>
    <w:rsid w:val="559F15BA"/>
    <w:rsid w:val="55A3282B"/>
    <w:rsid w:val="55A51154"/>
    <w:rsid w:val="55C27E42"/>
    <w:rsid w:val="55C930FD"/>
    <w:rsid w:val="55CA5322"/>
    <w:rsid w:val="55D466DB"/>
    <w:rsid w:val="55E51027"/>
    <w:rsid w:val="55F60BB5"/>
    <w:rsid w:val="56016276"/>
    <w:rsid w:val="56246AFD"/>
    <w:rsid w:val="562F7617"/>
    <w:rsid w:val="563010D0"/>
    <w:rsid w:val="564F3002"/>
    <w:rsid w:val="566D2E42"/>
    <w:rsid w:val="567B4AC1"/>
    <w:rsid w:val="567B74A8"/>
    <w:rsid w:val="568539C0"/>
    <w:rsid w:val="568C6EF0"/>
    <w:rsid w:val="56A14DC8"/>
    <w:rsid w:val="56B057B1"/>
    <w:rsid w:val="56B412E9"/>
    <w:rsid w:val="56B85032"/>
    <w:rsid w:val="56BA218C"/>
    <w:rsid w:val="56BF670C"/>
    <w:rsid w:val="56C54C8F"/>
    <w:rsid w:val="56C67B3A"/>
    <w:rsid w:val="56CE5206"/>
    <w:rsid w:val="56D57F86"/>
    <w:rsid w:val="56D65495"/>
    <w:rsid w:val="56E36C67"/>
    <w:rsid w:val="56E737D5"/>
    <w:rsid w:val="56FF474D"/>
    <w:rsid w:val="57023484"/>
    <w:rsid w:val="57090FCE"/>
    <w:rsid w:val="5723345F"/>
    <w:rsid w:val="572724A7"/>
    <w:rsid w:val="57482DEB"/>
    <w:rsid w:val="574B68B8"/>
    <w:rsid w:val="57517AF5"/>
    <w:rsid w:val="57543A69"/>
    <w:rsid w:val="576E7483"/>
    <w:rsid w:val="57830B99"/>
    <w:rsid w:val="579E1D15"/>
    <w:rsid w:val="57A13E23"/>
    <w:rsid w:val="57E76AEC"/>
    <w:rsid w:val="58176DE3"/>
    <w:rsid w:val="581F5E24"/>
    <w:rsid w:val="58296D5F"/>
    <w:rsid w:val="582B606E"/>
    <w:rsid w:val="58431A93"/>
    <w:rsid w:val="58534D7F"/>
    <w:rsid w:val="588B41D5"/>
    <w:rsid w:val="58AD5112"/>
    <w:rsid w:val="58C62B3D"/>
    <w:rsid w:val="58E77DB7"/>
    <w:rsid w:val="58FA445B"/>
    <w:rsid w:val="590E6BFC"/>
    <w:rsid w:val="592B06D2"/>
    <w:rsid w:val="59352C2D"/>
    <w:rsid w:val="593F06CB"/>
    <w:rsid w:val="594D3234"/>
    <w:rsid w:val="59535D12"/>
    <w:rsid w:val="595B641E"/>
    <w:rsid w:val="5978185F"/>
    <w:rsid w:val="59833751"/>
    <w:rsid w:val="59850684"/>
    <w:rsid w:val="59864338"/>
    <w:rsid w:val="599A707C"/>
    <w:rsid w:val="599C73F0"/>
    <w:rsid w:val="59E50D4E"/>
    <w:rsid w:val="59EB6EF3"/>
    <w:rsid w:val="59F15D9A"/>
    <w:rsid w:val="59F453A1"/>
    <w:rsid w:val="5A147A40"/>
    <w:rsid w:val="5A2A399A"/>
    <w:rsid w:val="5A3261D4"/>
    <w:rsid w:val="5A38233D"/>
    <w:rsid w:val="5A430565"/>
    <w:rsid w:val="5A4B64AF"/>
    <w:rsid w:val="5A4E5FE6"/>
    <w:rsid w:val="5A5A3F1F"/>
    <w:rsid w:val="5A6D5C4F"/>
    <w:rsid w:val="5A7D2FB0"/>
    <w:rsid w:val="5A884D95"/>
    <w:rsid w:val="5A8E55AA"/>
    <w:rsid w:val="5AB0167B"/>
    <w:rsid w:val="5AC6678E"/>
    <w:rsid w:val="5ADE4E37"/>
    <w:rsid w:val="5AED17CD"/>
    <w:rsid w:val="5AF3626A"/>
    <w:rsid w:val="5AF71241"/>
    <w:rsid w:val="5B03131C"/>
    <w:rsid w:val="5B0A0850"/>
    <w:rsid w:val="5B0C2FE8"/>
    <w:rsid w:val="5B19574E"/>
    <w:rsid w:val="5B360D8D"/>
    <w:rsid w:val="5B436107"/>
    <w:rsid w:val="5B507FC3"/>
    <w:rsid w:val="5B581836"/>
    <w:rsid w:val="5B801F18"/>
    <w:rsid w:val="5BA75D07"/>
    <w:rsid w:val="5BC96E74"/>
    <w:rsid w:val="5BD23447"/>
    <w:rsid w:val="5BD938DE"/>
    <w:rsid w:val="5BD9634A"/>
    <w:rsid w:val="5BDA2FBA"/>
    <w:rsid w:val="5BDD2AB7"/>
    <w:rsid w:val="5BEC6C37"/>
    <w:rsid w:val="5BF7321F"/>
    <w:rsid w:val="5C0108AE"/>
    <w:rsid w:val="5C023677"/>
    <w:rsid w:val="5C065405"/>
    <w:rsid w:val="5C0F41F8"/>
    <w:rsid w:val="5C334F1A"/>
    <w:rsid w:val="5C3900D1"/>
    <w:rsid w:val="5C575DBA"/>
    <w:rsid w:val="5C626BB5"/>
    <w:rsid w:val="5C7259A2"/>
    <w:rsid w:val="5C7C7741"/>
    <w:rsid w:val="5C8F5EDF"/>
    <w:rsid w:val="5C952D6B"/>
    <w:rsid w:val="5C9D1992"/>
    <w:rsid w:val="5CA37326"/>
    <w:rsid w:val="5CBD6C7B"/>
    <w:rsid w:val="5CC2220D"/>
    <w:rsid w:val="5CCC499C"/>
    <w:rsid w:val="5CE81C53"/>
    <w:rsid w:val="5CE84C97"/>
    <w:rsid w:val="5CF30B55"/>
    <w:rsid w:val="5CF54230"/>
    <w:rsid w:val="5D03607B"/>
    <w:rsid w:val="5D1702DA"/>
    <w:rsid w:val="5D194B49"/>
    <w:rsid w:val="5D224455"/>
    <w:rsid w:val="5D3A7844"/>
    <w:rsid w:val="5D437A61"/>
    <w:rsid w:val="5D540789"/>
    <w:rsid w:val="5D5A2AFA"/>
    <w:rsid w:val="5D677897"/>
    <w:rsid w:val="5D7E3831"/>
    <w:rsid w:val="5D98008F"/>
    <w:rsid w:val="5DA21F6E"/>
    <w:rsid w:val="5DA3739E"/>
    <w:rsid w:val="5DC2568B"/>
    <w:rsid w:val="5DE26ED8"/>
    <w:rsid w:val="5DFB5BF9"/>
    <w:rsid w:val="5E082358"/>
    <w:rsid w:val="5E15192D"/>
    <w:rsid w:val="5E1D6E5E"/>
    <w:rsid w:val="5E243D71"/>
    <w:rsid w:val="5E24415B"/>
    <w:rsid w:val="5E4F6988"/>
    <w:rsid w:val="5E811259"/>
    <w:rsid w:val="5EA40A05"/>
    <w:rsid w:val="5EAA760C"/>
    <w:rsid w:val="5EC718DD"/>
    <w:rsid w:val="5EE35527"/>
    <w:rsid w:val="5F0E2D05"/>
    <w:rsid w:val="5F0E70DB"/>
    <w:rsid w:val="5F126CA9"/>
    <w:rsid w:val="5F1C0E53"/>
    <w:rsid w:val="5F1D1EC1"/>
    <w:rsid w:val="5F1D7A72"/>
    <w:rsid w:val="5F1F0576"/>
    <w:rsid w:val="5F257CD2"/>
    <w:rsid w:val="5F295024"/>
    <w:rsid w:val="5F2E5353"/>
    <w:rsid w:val="5F3C1D3E"/>
    <w:rsid w:val="5F49122F"/>
    <w:rsid w:val="5F4A7A0B"/>
    <w:rsid w:val="5F531FCE"/>
    <w:rsid w:val="5F650B1A"/>
    <w:rsid w:val="5F814D8D"/>
    <w:rsid w:val="5F8E1C3C"/>
    <w:rsid w:val="5FA561BE"/>
    <w:rsid w:val="5FB410F5"/>
    <w:rsid w:val="5FDC413A"/>
    <w:rsid w:val="5FFF09C3"/>
    <w:rsid w:val="6003448A"/>
    <w:rsid w:val="600357A2"/>
    <w:rsid w:val="60050AE3"/>
    <w:rsid w:val="60317BF4"/>
    <w:rsid w:val="603A039D"/>
    <w:rsid w:val="60553D15"/>
    <w:rsid w:val="607A5E26"/>
    <w:rsid w:val="60806FFA"/>
    <w:rsid w:val="608D3FCF"/>
    <w:rsid w:val="60A61F13"/>
    <w:rsid w:val="60A766A5"/>
    <w:rsid w:val="60B207AD"/>
    <w:rsid w:val="60C962E3"/>
    <w:rsid w:val="60CE746A"/>
    <w:rsid w:val="60D22205"/>
    <w:rsid w:val="60D64BF9"/>
    <w:rsid w:val="610051B9"/>
    <w:rsid w:val="61056332"/>
    <w:rsid w:val="610F0FFB"/>
    <w:rsid w:val="611B4CD2"/>
    <w:rsid w:val="613227E3"/>
    <w:rsid w:val="614359A8"/>
    <w:rsid w:val="614C0C88"/>
    <w:rsid w:val="61535E0A"/>
    <w:rsid w:val="615A57E3"/>
    <w:rsid w:val="616A6902"/>
    <w:rsid w:val="617B26A0"/>
    <w:rsid w:val="618E5DA5"/>
    <w:rsid w:val="619B2669"/>
    <w:rsid w:val="61AD3663"/>
    <w:rsid w:val="61B71722"/>
    <w:rsid w:val="61BE4159"/>
    <w:rsid w:val="61C03733"/>
    <w:rsid w:val="61CF01FF"/>
    <w:rsid w:val="61CF3B05"/>
    <w:rsid w:val="61D4112D"/>
    <w:rsid w:val="61DA6FE7"/>
    <w:rsid w:val="61E60D83"/>
    <w:rsid w:val="61F349D6"/>
    <w:rsid w:val="61F670C5"/>
    <w:rsid w:val="62004E7B"/>
    <w:rsid w:val="621369DF"/>
    <w:rsid w:val="622809FF"/>
    <w:rsid w:val="622C5881"/>
    <w:rsid w:val="6237231D"/>
    <w:rsid w:val="623B5CDA"/>
    <w:rsid w:val="623C5034"/>
    <w:rsid w:val="6246065F"/>
    <w:rsid w:val="62681ABD"/>
    <w:rsid w:val="627E348C"/>
    <w:rsid w:val="628969D2"/>
    <w:rsid w:val="62A03ED5"/>
    <w:rsid w:val="62AA0A8A"/>
    <w:rsid w:val="62AA398C"/>
    <w:rsid w:val="62AF3389"/>
    <w:rsid w:val="62C9483B"/>
    <w:rsid w:val="62E7694D"/>
    <w:rsid w:val="6308010E"/>
    <w:rsid w:val="6334165D"/>
    <w:rsid w:val="633641D3"/>
    <w:rsid w:val="633D7BD0"/>
    <w:rsid w:val="633F495F"/>
    <w:rsid w:val="6349789D"/>
    <w:rsid w:val="634A4735"/>
    <w:rsid w:val="63533566"/>
    <w:rsid w:val="637162BC"/>
    <w:rsid w:val="637A7A86"/>
    <w:rsid w:val="638D6A0C"/>
    <w:rsid w:val="63D371C1"/>
    <w:rsid w:val="63E21FCF"/>
    <w:rsid w:val="63EB7958"/>
    <w:rsid w:val="63F51798"/>
    <w:rsid w:val="63F9795B"/>
    <w:rsid w:val="63FD73F7"/>
    <w:rsid w:val="6405473A"/>
    <w:rsid w:val="640F78DB"/>
    <w:rsid w:val="6412259C"/>
    <w:rsid w:val="641B1A0C"/>
    <w:rsid w:val="642665ED"/>
    <w:rsid w:val="642E70D9"/>
    <w:rsid w:val="643C3D1E"/>
    <w:rsid w:val="643C4019"/>
    <w:rsid w:val="643E6AFA"/>
    <w:rsid w:val="644562B7"/>
    <w:rsid w:val="64542795"/>
    <w:rsid w:val="645F2F4C"/>
    <w:rsid w:val="64641935"/>
    <w:rsid w:val="64716F4B"/>
    <w:rsid w:val="64834F86"/>
    <w:rsid w:val="64840F0A"/>
    <w:rsid w:val="649213CB"/>
    <w:rsid w:val="64921FD5"/>
    <w:rsid w:val="6494238C"/>
    <w:rsid w:val="649445A0"/>
    <w:rsid w:val="64A52AA4"/>
    <w:rsid w:val="64A61921"/>
    <w:rsid w:val="64B70EAD"/>
    <w:rsid w:val="64CC1DBA"/>
    <w:rsid w:val="64CF103C"/>
    <w:rsid w:val="64D94EDF"/>
    <w:rsid w:val="64DE0DFB"/>
    <w:rsid w:val="64F05CC5"/>
    <w:rsid w:val="64F23352"/>
    <w:rsid w:val="65143DE5"/>
    <w:rsid w:val="6516567D"/>
    <w:rsid w:val="651B2B96"/>
    <w:rsid w:val="652D31E6"/>
    <w:rsid w:val="65387465"/>
    <w:rsid w:val="65591D61"/>
    <w:rsid w:val="656275CE"/>
    <w:rsid w:val="656A2737"/>
    <w:rsid w:val="656C79C2"/>
    <w:rsid w:val="657C3807"/>
    <w:rsid w:val="657E3684"/>
    <w:rsid w:val="65816DE3"/>
    <w:rsid w:val="65871829"/>
    <w:rsid w:val="659B45F4"/>
    <w:rsid w:val="659E64B4"/>
    <w:rsid w:val="65AD6128"/>
    <w:rsid w:val="65B01D8E"/>
    <w:rsid w:val="65C80ACA"/>
    <w:rsid w:val="65CC005E"/>
    <w:rsid w:val="65D0621A"/>
    <w:rsid w:val="65D50697"/>
    <w:rsid w:val="65D652C8"/>
    <w:rsid w:val="65ED0FAA"/>
    <w:rsid w:val="65F24F1C"/>
    <w:rsid w:val="65F45221"/>
    <w:rsid w:val="65FC1573"/>
    <w:rsid w:val="660472D0"/>
    <w:rsid w:val="66094147"/>
    <w:rsid w:val="66114FDA"/>
    <w:rsid w:val="662E2864"/>
    <w:rsid w:val="662F1B43"/>
    <w:rsid w:val="6639508F"/>
    <w:rsid w:val="664358D7"/>
    <w:rsid w:val="66477370"/>
    <w:rsid w:val="664A5A74"/>
    <w:rsid w:val="665857E6"/>
    <w:rsid w:val="667E0D2B"/>
    <w:rsid w:val="667F2837"/>
    <w:rsid w:val="6680252D"/>
    <w:rsid w:val="66892402"/>
    <w:rsid w:val="66963160"/>
    <w:rsid w:val="66D41984"/>
    <w:rsid w:val="66EE469D"/>
    <w:rsid w:val="670E4E29"/>
    <w:rsid w:val="6737292B"/>
    <w:rsid w:val="675122DB"/>
    <w:rsid w:val="67765AF7"/>
    <w:rsid w:val="677E0BB2"/>
    <w:rsid w:val="67883C13"/>
    <w:rsid w:val="678B7B38"/>
    <w:rsid w:val="679435E9"/>
    <w:rsid w:val="67A61531"/>
    <w:rsid w:val="67A62E17"/>
    <w:rsid w:val="67B12A19"/>
    <w:rsid w:val="67BF7957"/>
    <w:rsid w:val="67D602DF"/>
    <w:rsid w:val="67DA7468"/>
    <w:rsid w:val="67DF6B14"/>
    <w:rsid w:val="67EB7DEB"/>
    <w:rsid w:val="67EE4451"/>
    <w:rsid w:val="67FE32F8"/>
    <w:rsid w:val="67FF10A8"/>
    <w:rsid w:val="68011632"/>
    <w:rsid w:val="680B1D48"/>
    <w:rsid w:val="681515E0"/>
    <w:rsid w:val="68217878"/>
    <w:rsid w:val="682A47F6"/>
    <w:rsid w:val="68472380"/>
    <w:rsid w:val="684A2B98"/>
    <w:rsid w:val="68586651"/>
    <w:rsid w:val="68801662"/>
    <w:rsid w:val="68AE52C0"/>
    <w:rsid w:val="68B2244E"/>
    <w:rsid w:val="68B52D5C"/>
    <w:rsid w:val="68CC2B0B"/>
    <w:rsid w:val="68D66229"/>
    <w:rsid w:val="690E23B7"/>
    <w:rsid w:val="69123EC2"/>
    <w:rsid w:val="69136D6F"/>
    <w:rsid w:val="691955A6"/>
    <w:rsid w:val="6920482A"/>
    <w:rsid w:val="6934164D"/>
    <w:rsid w:val="69350E5F"/>
    <w:rsid w:val="69434892"/>
    <w:rsid w:val="694462E1"/>
    <w:rsid w:val="6946698C"/>
    <w:rsid w:val="694A1837"/>
    <w:rsid w:val="6954793C"/>
    <w:rsid w:val="695A3E18"/>
    <w:rsid w:val="696051E4"/>
    <w:rsid w:val="698B045F"/>
    <w:rsid w:val="698D1DAD"/>
    <w:rsid w:val="698F5674"/>
    <w:rsid w:val="6992674C"/>
    <w:rsid w:val="699A4B7D"/>
    <w:rsid w:val="69A70B49"/>
    <w:rsid w:val="69BF262E"/>
    <w:rsid w:val="69DD2E06"/>
    <w:rsid w:val="69DF03CB"/>
    <w:rsid w:val="69F96B11"/>
    <w:rsid w:val="69FA05AD"/>
    <w:rsid w:val="69FA62F8"/>
    <w:rsid w:val="6A165415"/>
    <w:rsid w:val="6A3D7572"/>
    <w:rsid w:val="6A635DCE"/>
    <w:rsid w:val="6A6A6F07"/>
    <w:rsid w:val="6A8B2A78"/>
    <w:rsid w:val="6A907721"/>
    <w:rsid w:val="6AA13774"/>
    <w:rsid w:val="6AA14345"/>
    <w:rsid w:val="6AA35058"/>
    <w:rsid w:val="6AAA3AB5"/>
    <w:rsid w:val="6AD10492"/>
    <w:rsid w:val="6AD75462"/>
    <w:rsid w:val="6ADE4520"/>
    <w:rsid w:val="6ADF52D9"/>
    <w:rsid w:val="6AEF6739"/>
    <w:rsid w:val="6B1472E2"/>
    <w:rsid w:val="6B21777D"/>
    <w:rsid w:val="6B2906B4"/>
    <w:rsid w:val="6B4528F4"/>
    <w:rsid w:val="6B92690D"/>
    <w:rsid w:val="6B935E47"/>
    <w:rsid w:val="6BA03A95"/>
    <w:rsid w:val="6BB019A1"/>
    <w:rsid w:val="6BFD3D29"/>
    <w:rsid w:val="6C021176"/>
    <w:rsid w:val="6C0C613E"/>
    <w:rsid w:val="6C0D3619"/>
    <w:rsid w:val="6C0D7A36"/>
    <w:rsid w:val="6C1120B8"/>
    <w:rsid w:val="6C144C1F"/>
    <w:rsid w:val="6C2200FD"/>
    <w:rsid w:val="6C380939"/>
    <w:rsid w:val="6C671A0B"/>
    <w:rsid w:val="6C731DBD"/>
    <w:rsid w:val="6C7350C0"/>
    <w:rsid w:val="6C751376"/>
    <w:rsid w:val="6C78143F"/>
    <w:rsid w:val="6C9126C4"/>
    <w:rsid w:val="6C9407DA"/>
    <w:rsid w:val="6CA96508"/>
    <w:rsid w:val="6CB13E4B"/>
    <w:rsid w:val="6CB474FE"/>
    <w:rsid w:val="6CC91DFD"/>
    <w:rsid w:val="6CD95819"/>
    <w:rsid w:val="6CE0674C"/>
    <w:rsid w:val="6CEA7805"/>
    <w:rsid w:val="6CEC4213"/>
    <w:rsid w:val="6D011D73"/>
    <w:rsid w:val="6D0272C7"/>
    <w:rsid w:val="6D0B022B"/>
    <w:rsid w:val="6D0F75A5"/>
    <w:rsid w:val="6D120C4B"/>
    <w:rsid w:val="6D2F2E8B"/>
    <w:rsid w:val="6D37468A"/>
    <w:rsid w:val="6D3F487D"/>
    <w:rsid w:val="6D586216"/>
    <w:rsid w:val="6D5E759F"/>
    <w:rsid w:val="6D7A6705"/>
    <w:rsid w:val="6D8609A1"/>
    <w:rsid w:val="6DA46DDF"/>
    <w:rsid w:val="6DC42B57"/>
    <w:rsid w:val="6DFA28C2"/>
    <w:rsid w:val="6E034E65"/>
    <w:rsid w:val="6E2036DF"/>
    <w:rsid w:val="6E255A4D"/>
    <w:rsid w:val="6E2E41E3"/>
    <w:rsid w:val="6E374488"/>
    <w:rsid w:val="6E4F406A"/>
    <w:rsid w:val="6E602AE1"/>
    <w:rsid w:val="6E7E5E36"/>
    <w:rsid w:val="6E82122A"/>
    <w:rsid w:val="6E88191B"/>
    <w:rsid w:val="6E8D4936"/>
    <w:rsid w:val="6E9A2086"/>
    <w:rsid w:val="6EBE5758"/>
    <w:rsid w:val="6EBF11D9"/>
    <w:rsid w:val="6EE42E88"/>
    <w:rsid w:val="6EEE4FE7"/>
    <w:rsid w:val="6EFA2481"/>
    <w:rsid w:val="6EFB079A"/>
    <w:rsid w:val="6EFB3BC1"/>
    <w:rsid w:val="6F03756C"/>
    <w:rsid w:val="6F1C0472"/>
    <w:rsid w:val="6F221715"/>
    <w:rsid w:val="6F352573"/>
    <w:rsid w:val="6F4E4482"/>
    <w:rsid w:val="6F576452"/>
    <w:rsid w:val="6F5B3F7A"/>
    <w:rsid w:val="6F6A4191"/>
    <w:rsid w:val="6F6D59A7"/>
    <w:rsid w:val="6F6F7CFC"/>
    <w:rsid w:val="6F7B55A1"/>
    <w:rsid w:val="6F820D1B"/>
    <w:rsid w:val="6F8C6B5E"/>
    <w:rsid w:val="6FA27122"/>
    <w:rsid w:val="6FA409CF"/>
    <w:rsid w:val="6FA43FEC"/>
    <w:rsid w:val="6FAE6760"/>
    <w:rsid w:val="6FE97C12"/>
    <w:rsid w:val="6FEE4625"/>
    <w:rsid w:val="6FEF534E"/>
    <w:rsid w:val="6FFB3D65"/>
    <w:rsid w:val="70041463"/>
    <w:rsid w:val="700F031D"/>
    <w:rsid w:val="70183534"/>
    <w:rsid w:val="701F1822"/>
    <w:rsid w:val="702A483D"/>
    <w:rsid w:val="70344A9A"/>
    <w:rsid w:val="703C1729"/>
    <w:rsid w:val="703D54F3"/>
    <w:rsid w:val="704E10AE"/>
    <w:rsid w:val="706B6CA1"/>
    <w:rsid w:val="708256B8"/>
    <w:rsid w:val="70845BE2"/>
    <w:rsid w:val="70881868"/>
    <w:rsid w:val="70A63435"/>
    <w:rsid w:val="70B658F5"/>
    <w:rsid w:val="70B85F4F"/>
    <w:rsid w:val="70BB481F"/>
    <w:rsid w:val="70C1558D"/>
    <w:rsid w:val="70C27175"/>
    <w:rsid w:val="70CF2038"/>
    <w:rsid w:val="70D22F12"/>
    <w:rsid w:val="70DF3A2D"/>
    <w:rsid w:val="71023492"/>
    <w:rsid w:val="71027238"/>
    <w:rsid w:val="710F351B"/>
    <w:rsid w:val="71142E64"/>
    <w:rsid w:val="711932D2"/>
    <w:rsid w:val="711A71C5"/>
    <w:rsid w:val="711B2EEF"/>
    <w:rsid w:val="714A41CA"/>
    <w:rsid w:val="714C3475"/>
    <w:rsid w:val="715003B9"/>
    <w:rsid w:val="715F50BB"/>
    <w:rsid w:val="71632A24"/>
    <w:rsid w:val="71632AC0"/>
    <w:rsid w:val="7165372D"/>
    <w:rsid w:val="71682667"/>
    <w:rsid w:val="71896DA3"/>
    <w:rsid w:val="718C4058"/>
    <w:rsid w:val="719F2C81"/>
    <w:rsid w:val="71BB18E0"/>
    <w:rsid w:val="71BE35B6"/>
    <w:rsid w:val="71C46EB4"/>
    <w:rsid w:val="71CF0F8A"/>
    <w:rsid w:val="72010A3F"/>
    <w:rsid w:val="72065BC9"/>
    <w:rsid w:val="720F56E0"/>
    <w:rsid w:val="7218287D"/>
    <w:rsid w:val="721F562E"/>
    <w:rsid w:val="72230C1B"/>
    <w:rsid w:val="722F766C"/>
    <w:rsid w:val="72333A6B"/>
    <w:rsid w:val="72591DAD"/>
    <w:rsid w:val="7267269C"/>
    <w:rsid w:val="726C0367"/>
    <w:rsid w:val="726D1804"/>
    <w:rsid w:val="727518B3"/>
    <w:rsid w:val="727F3DA7"/>
    <w:rsid w:val="728E5747"/>
    <w:rsid w:val="729C0B14"/>
    <w:rsid w:val="72A817D3"/>
    <w:rsid w:val="72AE724E"/>
    <w:rsid w:val="72CF584E"/>
    <w:rsid w:val="72FE464B"/>
    <w:rsid w:val="73076DF8"/>
    <w:rsid w:val="731D4F2C"/>
    <w:rsid w:val="732E5401"/>
    <w:rsid w:val="732F1125"/>
    <w:rsid w:val="733267FD"/>
    <w:rsid w:val="73422B0B"/>
    <w:rsid w:val="73453585"/>
    <w:rsid w:val="73473A43"/>
    <w:rsid w:val="73503E70"/>
    <w:rsid w:val="739042AB"/>
    <w:rsid w:val="739221AB"/>
    <w:rsid w:val="73AF4923"/>
    <w:rsid w:val="73B04016"/>
    <w:rsid w:val="73B9575E"/>
    <w:rsid w:val="73C037DD"/>
    <w:rsid w:val="73C63A92"/>
    <w:rsid w:val="73CD0D9F"/>
    <w:rsid w:val="73D2575F"/>
    <w:rsid w:val="73D54938"/>
    <w:rsid w:val="73DF6D2D"/>
    <w:rsid w:val="73F45BF9"/>
    <w:rsid w:val="741F473C"/>
    <w:rsid w:val="742B4EA7"/>
    <w:rsid w:val="7432494D"/>
    <w:rsid w:val="744548D2"/>
    <w:rsid w:val="74583727"/>
    <w:rsid w:val="74623032"/>
    <w:rsid w:val="747B3203"/>
    <w:rsid w:val="74927F61"/>
    <w:rsid w:val="74995CCF"/>
    <w:rsid w:val="74BB2ECD"/>
    <w:rsid w:val="74E35285"/>
    <w:rsid w:val="74E83BB4"/>
    <w:rsid w:val="74ED65A1"/>
    <w:rsid w:val="74F05944"/>
    <w:rsid w:val="74FE2E5B"/>
    <w:rsid w:val="74FF3EAF"/>
    <w:rsid w:val="750A3F80"/>
    <w:rsid w:val="751B140A"/>
    <w:rsid w:val="753C7823"/>
    <w:rsid w:val="753F052D"/>
    <w:rsid w:val="754D7792"/>
    <w:rsid w:val="755963C3"/>
    <w:rsid w:val="7579712B"/>
    <w:rsid w:val="75915E87"/>
    <w:rsid w:val="75A14BD6"/>
    <w:rsid w:val="75B21221"/>
    <w:rsid w:val="75B42EC9"/>
    <w:rsid w:val="75DF67F2"/>
    <w:rsid w:val="75ED3735"/>
    <w:rsid w:val="75F24920"/>
    <w:rsid w:val="761A3C06"/>
    <w:rsid w:val="764B52EF"/>
    <w:rsid w:val="76501544"/>
    <w:rsid w:val="76502431"/>
    <w:rsid w:val="766046FB"/>
    <w:rsid w:val="7665787F"/>
    <w:rsid w:val="766A6F43"/>
    <w:rsid w:val="766C389C"/>
    <w:rsid w:val="766F7F7C"/>
    <w:rsid w:val="76801576"/>
    <w:rsid w:val="76823C9B"/>
    <w:rsid w:val="76983847"/>
    <w:rsid w:val="769F7D6B"/>
    <w:rsid w:val="76A6344B"/>
    <w:rsid w:val="76AD3D75"/>
    <w:rsid w:val="76D620B3"/>
    <w:rsid w:val="76F0383C"/>
    <w:rsid w:val="76FA7BAC"/>
    <w:rsid w:val="76FB7A95"/>
    <w:rsid w:val="770651CD"/>
    <w:rsid w:val="771D0FC5"/>
    <w:rsid w:val="77241448"/>
    <w:rsid w:val="77255587"/>
    <w:rsid w:val="77297E1D"/>
    <w:rsid w:val="773438DB"/>
    <w:rsid w:val="773454D7"/>
    <w:rsid w:val="773C0A6F"/>
    <w:rsid w:val="773D303D"/>
    <w:rsid w:val="77492971"/>
    <w:rsid w:val="77662D3F"/>
    <w:rsid w:val="7767249C"/>
    <w:rsid w:val="776B6F03"/>
    <w:rsid w:val="7779428C"/>
    <w:rsid w:val="779F0530"/>
    <w:rsid w:val="779F1603"/>
    <w:rsid w:val="77AB178B"/>
    <w:rsid w:val="77B71583"/>
    <w:rsid w:val="77CB3A29"/>
    <w:rsid w:val="77ED4745"/>
    <w:rsid w:val="77EE4A4B"/>
    <w:rsid w:val="77FB3DA3"/>
    <w:rsid w:val="780E2672"/>
    <w:rsid w:val="783267D4"/>
    <w:rsid w:val="784616DC"/>
    <w:rsid w:val="784C0B79"/>
    <w:rsid w:val="78690766"/>
    <w:rsid w:val="786F3305"/>
    <w:rsid w:val="78864F39"/>
    <w:rsid w:val="788A3E09"/>
    <w:rsid w:val="78901D38"/>
    <w:rsid w:val="78AA7221"/>
    <w:rsid w:val="78CE7780"/>
    <w:rsid w:val="78E31FDB"/>
    <w:rsid w:val="78E35B2B"/>
    <w:rsid w:val="78EE7B4C"/>
    <w:rsid w:val="78F2262B"/>
    <w:rsid w:val="78F72E0A"/>
    <w:rsid w:val="790A42FC"/>
    <w:rsid w:val="790D6813"/>
    <w:rsid w:val="790E46A0"/>
    <w:rsid w:val="79126D1B"/>
    <w:rsid w:val="79174433"/>
    <w:rsid w:val="79302C8E"/>
    <w:rsid w:val="795541D0"/>
    <w:rsid w:val="797534C4"/>
    <w:rsid w:val="797E1642"/>
    <w:rsid w:val="79813F74"/>
    <w:rsid w:val="79837396"/>
    <w:rsid w:val="79887612"/>
    <w:rsid w:val="798C2FF9"/>
    <w:rsid w:val="79A25663"/>
    <w:rsid w:val="79BE14EE"/>
    <w:rsid w:val="79CF42B6"/>
    <w:rsid w:val="79E53AF7"/>
    <w:rsid w:val="79F26403"/>
    <w:rsid w:val="79F31FFB"/>
    <w:rsid w:val="79F42C21"/>
    <w:rsid w:val="7A0C7C67"/>
    <w:rsid w:val="7A1B3CDE"/>
    <w:rsid w:val="7A26064C"/>
    <w:rsid w:val="7A3A176A"/>
    <w:rsid w:val="7A3C7346"/>
    <w:rsid w:val="7A3D577E"/>
    <w:rsid w:val="7A46778E"/>
    <w:rsid w:val="7A5F47B2"/>
    <w:rsid w:val="7A866D65"/>
    <w:rsid w:val="7AA63CC2"/>
    <w:rsid w:val="7AC42E22"/>
    <w:rsid w:val="7AD02292"/>
    <w:rsid w:val="7AD877C5"/>
    <w:rsid w:val="7AF23AA2"/>
    <w:rsid w:val="7AFD65FE"/>
    <w:rsid w:val="7B04572B"/>
    <w:rsid w:val="7B0C759E"/>
    <w:rsid w:val="7B151240"/>
    <w:rsid w:val="7B2A5B61"/>
    <w:rsid w:val="7B2E6F2E"/>
    <w:rsid w:val="7B3D5ECB"/>
    <w:rsid w:val="7B5047E3"/>
    <w:rsid w:val="7B560939"/>
    <w:rsid w:val="7B607AFE"/>
    <w:rsid w:val="7B6B39F0"/>
    <w:rsid w:val="7B6D55A0"/>
    <w:rsid w:val="7B8F6DB9"/>
    <w:rsid w:val="7B970207"/>
    <w:rsid w:val="7BC96D4C"/>
    <w:rsid w:val="7BCA6C6B"/>
    <w:rsid w:val="7BD67DD6"/>
    <w:rsid w:val="7BE12D1D"/>
    <w:rsid w:val="7BF350B5"/>
    <w:rsid w:val="7BFD163A"/>
    <w:rsid w:val="7C0520CC"/>
    <w:rsid w:val="7C07563D"/>
    <w:rsid w:val="7C144609"/>
    <w:rsid w:val="7C3F56E5"/>
    <w:rsid w:val="7C457691"/>
    <w:rsid w:val="7C4831AD"/>
    <w:rsid w:val="7C5760EE"/>
    <w:rsid w:val="7C596C0C"/>
    <w:rsid w:val="7C5E271C"/>
    <w:rsid w:val="7C803521"/>
    <w:rsid w:val="7C8456B4"/>
    <w:rsid w:val="7C953051"/>
    <w:rsid w:val="7C9801E7"/>
    <w:rsid w:val="7C993261"/>
    <w:rsid w:val="7C9C4FB3"/>
    <w:rsid w:val="7CB404D2"/>
    <w:rsid w:val="7CB72449"/>
    <w:rsid w:val="7CC45868"/>
    <w:rsid w:val="7CD47E7A"/>
    <w:rsid w:val="7CD81FC5"/>
    <w:rsid w:val="7CDF297C"/>
    <w:rsid w:val="7CF30C30"/>
    <w:rsid w:val="7CF32111"/>
    <w:rsid w:val="7D023756"/>
    <w:rsid w:val="7D086FB4"/>
    <w:rsid w:val="7D0E16D1"/>
    <w:rsid w:val="7D12029C"/>
    <w:rsid w:val="7D14327C"/>
    <w:rsid w:val="7D357A2E"/>
    <w:rsid w:val="7D424853"/>
    <w:rsid w:val="7D436574"/>
    <w:rsid w:val="7D4523E0"/>
    <w:rsid w:val="7D455040"/>
    <w:rsid w:val="7D4F2D90"/>
    <w:rsid w:val="7D545B50"/>
    <w:rsid w:val="7D7233FC"/>
    <w:rsid w:val="7D723834"/>
    <w:rsid w:val="7D826060"/>
    <w:rsid w:val="7D91728E"/>
    <w:rsid w:val="7D9531AF"/>
    <w:rsid w:val="7DA367C3"/>
    <w:rsid w:val="7DA95BF8"/>
    <w:rsid w:val="7DB735F6"/>
    <w:rsid w:val="7DBA3E29"/>
    <w:rsid w:val="7DD43B3B"/>
    <w:rsid w:val="7DD9603E"/>
    <w:rsid w:val="7DDC422A"/>
    <w:rsid w:val="7DF66614"/>
    <w:rsid w:val="7DF96EEF"/>
    <w:rsid w:val="7E08763D"/>
    <w:rsid w:val="7E105802"/>
    <w:rsid w:val="7E26703F"/>
    <w:rsid w:val="7E3310A0"/>
    <w:rsid w:val="7E41527D"/>
    <w:rsid w:val="7E7E4857"/>
    <w:rsid w:val="7E7F41C4"/>
    <w:rsid w:val="7E8A082B"/>
    <w:rsid w:val="7E921DBB"/>
    <w:rsid w:val="7EA066C5"/>
    <w:rsid w:val="7EA56B6F"/>
    <w:rsid w:val="7EAE6E86"/>
    <w:rsid w:val="7EC313EE"/>
    <w:rsid w:val="7EC74A21"/>
    <w:rsid w:val="7EF17582"/>
    <w:rsid w:val="7EF71C88"/>
    <w:rsid w:val="7F0C6121"/>
    <w:rsid w:val="7F183F37"/>
    <w:rsid w:val="7F195FFC"/>
    <w:rsid w:val="7F1C13CC"/>
    <w:rsid w:val="7F1E76DE"/>
    <w:rsid w:val="7F202783"/>
    <w:rsid w:val="7F2A3DD5"/>
    <w:rsid w:val="7F3A52A9"/>
    <w:rsid w:val="7F4B0A13"/>
    <w:rsid w:val="7F536BDB"/>
    <w:rsid w:val="7F5E47DE"/>
    <w:rsid w:val="7FAB4E21"/>
    <w:rsid w:val="7FB546BC"/>
    <w:rsid w:val="7FD04950"/>
    <w:rsid w:val="7FDA2889"/>
    <w:rsid w:val="7FDF0E7C"/>
    <w:rsid w:val="7FEA0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35"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qFormat="1" w:unhideWhenUsed="0" w:uiPriority="0"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2"/>
    <w:qFormat/>
    <w:uiPriority w:val="0"/>
    <w:pPr>
      <w:keepNext/>
      <w:keepLines/>
      <w:spacing w:before="340" w:after="330" w:line="576" w:lineRule="auto"/>
      <w:jc w:val="center"/>
      <w:outlineLvl w:val="0"/>
    </w:pPr>
    <w:rPr>
      <w:b/>
      <w:bCs/>
      <w:kern w:val="44"/>
      <w:sz w:val="44"/>
      <w:szCs w:val="44"/>
    </w:rPr>
  </w:style>
  <w:style w:type="paragraph" w:styleId="4">
    <w:name w:val="heading 2"/>
    <w:basedOn w:val="1"/>
    <w:next w:val="1"/>
    <w:link w:val="63"/>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64"/>
    <w:qFormat/>
    <w:uiPriority w:val="99"/>
    <w:pPr>
      <w:keepNext/>
      <w:keepLines/>
      <w:spacing w:before="20" w:after="20" w:line="415" w:lineRule="auto"/>
      <w:ind w:firstLine="137" w:firstLineChars="49"/>
      <w:outlineLvl w:val="2"/>
    </w:pPr>
    <w:rPr>
      <w:rFonts w:hAnsi="黑体" w:eastAsia="黑体"/>
      <w:sz w:val="24"/>
      <w:szCs w:val="20"/>
    </w:rPr>
  </w:style>
  <w:style w:type="paragraph" w:styleId="6">
    <w:name w:val="heading 4"/>
    <w:basedOn w:val="1"/>
    <w:next w:val="1"/>
    <w:link w:val="65"/>
    <w:qFormat/>
    <w:uiPriority w:val="99"/>
    <w:pPr>
      <w:keepNext/>
      <w:keepLines/>
      <w:spacing w:before="280" w:after="290" w:line="374" w:lineRule="auto"/>
      <w:outlineLvl w:val="3"/>
    </w:pPr>
    <w:rPr>
      <w:rFonts w:hint="eastAsia" w:ascii="Cambria" w:hAnsi="Cambria"/>
      <w:b/>
      <w:sz w:val="28"/>
      <w:szCs w:val="20"/>
    </w:rPr>
  </w:style>
  <w:style w:type="paragraph" w:styleId="7">
    <w:name w:val="heading 5"/>
    <w:basedOn w:val="1"/>
    <w:next w:val="1"/>
    <w:link w:val="66"/>
    <w:qFormat/>
    <w:uiPriority w:val="9"/>
    <w:pPr>
      <w:keepNext/>
      <w:keepLines/>
      <w:spacing w:before="280" w:after="290" w:line="376" w:lineRule="auto"/>
      <w:outlineLvl w:val="4"/>
    </w:pPr>
    <w:rPr>
      <w:b/>
      <w:bCs/>
      <w:sz w:val="28"/>
      <w:szCs w:val="28"/>
    </w:rPr>
  </w:style>
  <w:style w:type="paragraph" w:styleId="8">
    <w:name w:val="heading 6"/>
    <w:basedOn w:val="1"/>
    <w:next w:val="1"/>
    <w:link w:val="67"/>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9">
    <w:name w:val="heading 7"/>
    <w:basedOn w:val="1"/>
    <w:next w:val="1"/>
    <w:link w:val="6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10">
    <w:name w:val="heading 8"/>
    <w:basedOn w:val="1"/>
    <w:next w:val="1"/>
    <w:link w:val="69"/>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1">
    <w:name w:val="heading 9"/>
    <w:basedOn w:val="1"/>
    <w:next w:val="1"/>
    <w:link w:val="70"/>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0"/>
    <w:pPr>
      <w:ind w:firstLine="480" w:firstLineChars="200"/>
    </w:pPr>
    <w:rPr>
      <w:lang w:val="zh-CN"/>
    </w:rPr>
  </w:style>
  <w:style w:type="paragraph" w:styleId="12">
    <w:name w:val="toc 7"/>
    <w:basedOn w:val="1"/>
    <w:next w:val="1"/>
    <w:qFormat/>
    <w:uiPriority w:val="39"/>
    <w:pPr>
      <w:ind w:left="2520" w:leftChars="1200"/>
    </w:pPr>
  </w:style>
  <w:style w:type="paragraph" w:styleId="13">
    <w:name w:val="Normal Indent"/>
    <w:basedOn w:val="1"/>
    <w:link w:val="71"/>
    <w:qFormat/>
    <w:uiPriority w:val="0"/>
    <w:pPr>
      <w:ind w:firstLine="420"/>
    </w:pPr>
    <w:rPr>
      <w:b/>
      <w:sz w:val="24"/>
      <w:szCs w:val="20"/>
    </w:rPr>
  </w:style>
  <w:style w:type="paragraph" w:styleId="14">
    <w:name w:val="caption"/>
    <w:basedOn w:val="1"/>
    <w:next w:val="1"/>
    <w:qFormat/>
    <w:uiPriority w:val="35"/>
    <w:rPr>
      <w:rFonts w:ascii="Cambria" w:hAnsi="Cambria" w:eastAsia="黑体"/>
      <w:sz w:val="20"/>
      <w:szCs w:val="20"/>
    </w:rPr>
  </w:style>
  <w:style w:type="paragraph" w:styleId="15">
    <w:name w:val="Document Map"/>
    <w:basedOn w:val="1"/>
    <w:link w:val="72"/>
    <w:qFormat/>
    <w:uiPriority w:val="0"/>
    <w:pPr>
      <w:shd w:val="clear" w:color="auto" w:fill="000080"/>
    </w:pPr>
  </w:style>
  <w:style w:type="paragraph" w:styleId="16">
    <w:name w:val="annotation text"/>
    <w:basedOn w:val="1"/>
    <w:link w:val="73"/>
    <w:unhideWhenUsed/>
    <w:qFormat/>
    <w:uiPriority w:val="99"/>
    <w:pPr>
      <w:jc w:val="left"/>
    </w:pPr>
    <w:rPr>
      <w:szCs w:val="20"/>
    </w:rPr>
  </w:style>
  <w:style w:type="paragraph" w:styleId="17">
    <w:name w:val="Body Text 3"/>
    <w:basedOn w:val="1"/>
    <w:link w:val="74"/>
    <w:qFormat/>
    <w:uiPriority w:val="0"/>
    <w:rPr>
      <w:rFonts w:ascii="宋体"/>
      <w:sz w:val="24"/>
      <w:szCs w:val="20"/>
    </w:rPr>
  </w:style>
  <w:style w:type="paragraph" w:styleId="18">
    <w:name w:val="Body Text"/>
    <w:basedOn w:val="1"/>
    <w:link w:val="75"/>
    <w:qFormat/>
    <w:uiPriority w:val="0"/>
    <w:pPr>
      <w:spacing w:after="120"/>
    </w:pPr>
  </w:style>
  <w:style w:type="paragraph" w:styleId="19">
    <w:name w:val="Body Text Indent"/>
    <w:basedOn w:val="1"/>
    <w:link w:val="76"/>
    <w:qFormat/>
    <w:uiPriority w:val="0"/>
    <w:pPr>
      <w:spacing w:line="360" w:lineRule="auto"/>
      <w:ind w:firstLine="420"/>
    </w:pPr>
    <w:rPr>
      <w:rFonts w:ascii="宋体"/>
      <w:sz w:val="24"/>
      <w:szCs w:val="20"/>
    </w:rPr>
  </w:style>
  <w:style w:type="paragraph" w:styleId="20">
    <w:name w:val="Block Text"/>
    <w:basedOn w:val="1"/>
    <w:qFormat/>
    <w:uiPriority w:val="0"/>
    <w:pPr>
      <w:tabs>
        <w:tab w:val="center" w:pos="284"/>
      </w:tabs>
      <w:ind w:left="100" w:right="-1283" w:hanging="100"/>
    </w:pPr>
    <w:rPr>
      <w:rFonts w:ascii="宋体" w:hAnsi="Calibri"/>
      <w:sz w:val="28"/>
    </w:rPr>
  </w:style>
  <w:style w:type="paragraph" w:styleId="21">
    <w:name w:val="toc 5"/>
    <w:basedOn w:val="1"/>
    <w:next w:val="1"/>
    <w:qFormat/>
    <w:uiPriority w:val="39"/>
    <w:pPr>
      <w:ind w:left="1680" w:leftChars="800"/>
    </w:pPr>
  </w:style>
  <w:style w:type="paragraph" w:styleId="22">
    <w:name w:val="toc 3"/>
    <w:basedOn w:val="1"/>
    <w:next w:val="1"/>
    <w:qFormat/>
    <w:uiPriority w:val="39"/>
    <w:pPr>
      <w:ind w:left="840" w:leftChars="400"/>
    </w:pPr>
  </w:style>
  <w:style w:type="paragraph" w:styleId="23">
    <w:name w:val="Plain Text"/>
    <w:basedOn w:val="1"/>
    <w:link w:val="77"/>
    <w:qFormat/>
    <w:uiPriority w:val="0"/>
    <w:rPr>
      <w:rFonts w:ascii="宋体" w:hAnsi="Courier New"/>
      <w:sz w:val="28"/>
      <w:szCs w:val="20"/>
    </w:rPr>
  </w:style>
  <w:style w:type="paragraph" w:styleId="24">
    <w:name w:val="toc 8"/>
    <w:basedOn w:val="1"/>
    <w:next w:val="1"/>
    <w:qFormat/>
    <w:uiPriority w:val="39"/>
    <w:pPr>
      <w:ind w:left="2940" w:leftChars="1400"/>
    </w:pPr>
  </w:style>
  <w:style w:type="paragraph" w:styleId="25">
    <w:name w:val="Date"/>
    <w:basedOn w:val="1"/>
    <w:next w:val="1"/>
    <w:qFormat/>
    <w:uiPriority w:val="0"/>
    <w:pPr>
      <w:ind w:left="100" w:leftChars="2500"/>
    </w:pPr>
  </w:style>
  <w:style w:type="paragraph" w:styleId="26">
    <w:name w:val="Body Text Indent 2"/>
    <w:basedOn w:val="1"/>
    <w:link w:val="78"/>
    <w:qFormat/>
    <w:uiPriority w:val="0"/>
    <w:pPr>
      <w:spacing w:line="420" w:lineRule="exact"/>
      <w:ind w:firstLine="525"/>
    </w:pPr>
    <w:rPr>
      <w:rFonts w:ascii="宋体"/>
      <w:szCs w:val="20"/>
    </w:rPr>
  </w:style>
  <w:style w:type="paragraph" w:styleId="27">
    <w:name w:val="Balloon Text"/>
    <w:basedOn w:val="1"/>
    <w:link w:val="79"/>
    <w:unhideWhenUsed/>
    <w:qFormat/>
    <w:uiPriority w:val="99"/>
    <w:rPr>
      <w:sz w:val="18"/>
      <w:szCs w:val="18"/>
    </w:rPr>
  </w:style>
  <w:style w:type="paragraph" w:styleId="28">
    <w:name w:val="footer"/>
    <w:basedOn w:val="1"/>
    <w:link w:val="80"/>
    <w:qFormat/>
    <w:uiPriority w:val="99"/>
    <w:pPr>
      <w:tabs>
        <w:tab w:val="center" w:pos="4153"/>
        <w:tab w:val="right" w:pos="8306"/>
      </w:tabs>
      <w:snapToGrid w:val="0"/>
      <w:jc w:val="left"/>
    </w:pPr>
    <w:rPr>
      <w:sz w:val="18"/>
      <w:szCs w:val="20"/>
    </w:rPr>
  </w:style>
  <w:style w:type="paragraph" w:styleId="29">
    <w:name w:val="header"/>
    <w:basedOn w:val="1"/>
    <w:link w:val="8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20"/>
    </w:rPr>
  </w:style>
  <w:style w:type="paragraph" w:styleId="30">
    <w:name w:val="toc 1"/>
    <w:basedOn w:val="1"/>
    <w:next w:val="1"/>
    <w:qFormat/>
    <w:uiPriority w:val="39"/>
  </w:style>
  <w:style w:type="paragraph" w:styleId="31">
    <w:name w:val="toc 4"/>
    <w:basedOn w:val="1"/>
    <w:next w:val="1"/>
    <w:qFormat/>
    <w:uiPriority w:val="39"/>
    <w:pPr>
      <w:ind w:left="1260" w:leftChars="600"/>
    </w:pPr>
  </w:style>
  <w:style w:type="paragraph" w:styleId="32">
    <w:name w:val="Subtitle"/>
    <w:basedOn w:val="1"/>
    <w:next w:val="1"/>
    <w:link w:val="82"/>
    <w:qFormat/>
    <w:uiPriority w:val="11"/>
    <w:pPr>
      <w:spacing w:before="240" w:after="60" w:line="312" w:lineRule="auto"/>
      <w:jc w:val="center"/>
      <w:outlineLvl w:val="1"/>
    </w:pPr>
    <w:rPr>
      <w:rFonts w:ascii="Cambria" w:hAnsi="Cambria"/>
      <w:b/>
      <w:bCs/>
      <w:kern w:val="28"/>
      <w:sz w:val="32"/>
      <w:szCs w:val="32"/>
    </w:rPr>
  </w:style>
  <w:style w:type="paragraph" w:styleId="33">
    <w:name w:val="footnote text"/>
    <w:basedOn w:val="1"/>
    <w:link w:val="83"/>
    <w:qFormat/>
    <w:uiPriority w:val="0"/>
    <w:rPr>
      <w:sz w:val="20"/>
      <w:szCs w:val="20"/>
    </w:rPr>
  </w:style>
  <w:style w:type="paragraph" w:styleId="34">
    <w:name w:val="toc 6"/>
    <w:basedOn w:val="1"/>
    <w:next w:val="1"/>
    <w:qFormat/>
    <w:uiPriority w:val="39"/>
    <w:pPr>
      <w:ind w:left="2100" w:leftChars="1000"/>
    </w:pPr>
  </w:style>
  <w:style w:type="paragraph" w:styleId="35">
    <w:name w:val="Body Text Indent 3"/>
    <w:basedOn w:val="1"/>
    <w:link w:val="84"/>
    <w:qFormat/>
    <w:uiPriority w:val="0"/>
    <w:pPr>
      <w:spacing w:after="120"/>
      <w:ind w:left="420" w:leftChars="200"/>
    </w:pPr>
    <w:rPr>
      <w:sz w:val="16"/>
      <w:szCs w:val="16"/>
    </w:rPr>
  </w:style>
  <w:style w:type="paragraph" w:styleId="36">
    <w:name w:val="table of figures"/>
    <w:basedOn w:val="1"/>
    <w:next w:val="1"/>
    <w:qFormat/>
    <w:uiPriority w:val="0"/>
    <w:pPr>
      <w:ind w:left="200" w:leftChars="200" w:hanging="200" w:hangingChars="200"/>
    </w:pPr>
  </w:style>
  <w:style w:type="paragraph" w:styleId="37">
    <w:name w:val="toc 2"/>
    <w:basedOn w:val="1"/>
    <w:next w:val="1"/>
    <w:qFormat/>
    <w:uiPriority w:val="39"/>
    <w:pPr>
      <w:ind w:left="420" w:leftChars="200"/>
    </w:pPr>
  </w:style>
  <w:style w:type="paragraph" w:styleId="38">
    <w:name w:val="toc 9"/>
    <w:basedOn w:val="1"/>
    <w:next w:val="1"/>
    <w:qFormat/>
    <w:uiPriority w:val="39"/>
    <w:pPr>
      <w:ind w:left="3360" w:leftChars="1600"/>
    </w:pPr>
  </w:style>
  <w:style w:type="paragraph" w:styleId="39">
    <w:name w:val="List Continue 2"/>
    <w:basedOn w:val="1"/>
    <w:qFormat/>
    <w:uiPriority w:val="0"/>
    <w:pPr>
      <w:spacing w:after="120"/>
      <w:ind w:left="840"/>
    </w:pPr>
  </w:style>
  <w:style w:type="paragraph" w:styleId="4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1">
    <w:name w:val="Title"/>
    <w:basedOn w:val="1"/>
    <w:link w:val="85"/>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2">
    <w:name w:val="annotation subject"/>
    <w:basedOn w:val="16"/>
    <w:next w:val="16"/>
    <w:link w:val="86"/>
    <w:qFormat/>
    <w:uiPriority w:val="0"/>
    <w:rPr>
      <w:b/>
      <w:bCs/>
      <w:szCs w:val="24"/>
    </w:rPr>
  </w:style>
  <w:style w:type="table" w:styleId="44">
    <w:name w:val="Table Grid"/>
    <w:basedOn w:val="43"/>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6">
    <w:name w:val="Strong"/>
    <w:qFormat/>
    <w:uiPriority w:val="22"/>
    <w:rPr>
      <w:b/>
      <w:bCs/>
    </w:rPr>
  </w:style>
  <w:style w:type="character" w:styleId="47">
    <w:name w:val="page number"/>
    <w:qFormat/>
    <w:uiPriority w:val="0"/>
  </w:style>
  <w:style w:type="character" w:styleId="48">
    <w:name w:val="FollowedHyperlink"/>
    <w:qFormat/>
    <w:uiPriority w:val="0"/>
    <w:rPr>
      <w:color w:val="800080"/>
      <w:u w:val="none"/>
    </w:rPr>
  </w:style>
  <w:style w:type="character" w:styleId="49">
    <w:name w:val="Emphasis"/>
    <w:qFormat/>
    <w:uiPriority w:val="20"/>
    <w:rPr>
      <w:i/>
      <w:iCs/>
    </w:rPr>
  </w:style>
  <w:style w:type="character" w:styleId="50">
    <w:name w:val="HTML Definition"/>
    <w:basedOn w:val="45"/>
    <w:semiHidden/>
    <w:unhideWhenUsed/>
    <w:qFormat/>
    <w:uiPriority w:val="99"/>
  </w:style>
  <w:style w:type="character" w:styleId="51">
    <w:name w:val="HTML Typewriter"/>
    <w:basedOn w:val="45"/>
    <w:semiHidden/>
    <w:unhideWhenUsed/>
    <w:qFormat/>
    <w:uiPriority w:val="99"/>
    <w:rPr>
      <w:rFonts w:hint="default" w:ascii="monospace" w:hAnsi="monospace" w:eastAsia="monospace" w:cs="monospace"/>
      <w:sz w:val="20"/>
    </w:rPr>
  </w:style>
  <w:style w:type="character" w:styleId="52">
    <w:name w:val="HTML Acronym"/>
    <w:basedOn w:val="45"/>
    <w:semiHidden/>
    <w:unhideWhenUsed/>
    <w:qFormat/>
    <w:uiPriority w:val="99"/>
  </w:style>
  <w:style w:type="character" w:styleId="53">
    <w:name w:val="HTML Variable"/>
    <w:basedOn w:val="45"/>
    <w:semiHidden/>
    <w:unhideWhenUsed/>
    <w:qFormat/>
    <w:uiPriority w:val="99"/>
  </w:style>
  <w:style w:type="character" w:styleId="54">
    <w:name w:val="Hyperlink"/>
    <w:qFormat/>
    <w:uiPriority w:val="99"/>
    <w:rPr>
      <w:color w:val="0000FF"/>
      <w:u w:val="none"/>
    </w:rPr>
  </w:style>
  <w:style w:type="character" w:styleId="55">
    <w:name w:val="HTML Code"/>
    <w:basedOn w:val="45"/>
    <w:semiHidden/>
    <w:unhideWhenUsed/>
    <w:qFormat/>
    <w:uiPriority w:val="99"/>
    <w:rPr>
      <w:rFonts w:hint="default" w:ascii="monospace" w:hAnsi="monospace" w:eastAsia="monospace" w:cs="monospace"/>
      <w:sz w:val="20"/>
    </w:rPr>
  </w:style>
  <w:style w:type="character" w:styleId="56">
    <w:name w:val="annotation reference"/>
    <w:qFormat/>
    <w:uiPriority w:val="0"/>
    <w:rPr>
      <w:sz w:val="21"/>
      <w:szCs w:val="21"/>
    </w:rPr>
  </w:style>
  <w:style w:type="character" w:styleId="57">
    <w:name w:val="HTML Cite"/>
    <w:basedOn w:val="45"/>
    <w:semiHidden/>
    <w:unhideWhenUsed/>
    <w:qFormat/>
    <w:uiPriority w:val="99"/>
  </w:style>
  <w:style w:type="character" w:styleId="58">
    <w:name w:val="footnote reference"/>
    <w:qFormat/>
    <w:uiPriority w:val="0"/>
    <w:rPr>
      <w:vertAlign w:val="superscript"/>
    </w:rPr>
  </w:style>
  <w:style w:type="character" w:styleId="59">
    <w:name w:val="HTML Keyboard"/>
    <w:basedOn w:val="45"/>
    <w:semiHidden/>
    <w:unhideWhenUsed/>
    <w:qFormat/>
    <w:uiPriority w:val="99"/>
    <w:rPr>
      <w:rFonts w:hint="default" w:ascii="monospace" w:hAnsi="monospace" w:eastAsia="monospace" w:cs="monospace"/>
      <w:sz w:val="20"/>
    </w:rPr>
  </w:style>
  <w:style w:type="character" w:styleId="60">
    <w:name w:val="HTML Sample"/>
    <w:basedOn w:val="45"/>
    <w:semiHidden/>
    <w:unhideWhenUsed/>
    <w:qFormat/>
    <w:uiPriority w:val="99"/>
    <w:rPr>
      <w:rFonts w:ascii="monospace" w:hAnsi="monospace" w:eastAsia="monospace" w:cs="monospace"/>
    </w:rPr>
  </w:style>
  <w:style w:type="paragraph" w:customStyle="1" w:styleId="61">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character" w:customStyle="1" w:styleId="62">
    <w:name w:val="标题 1 Char"/>
    <w:link w:val="3"/>
    <w:qFormat/>
    <w:uiPriority w:val="0"/>
    <w:rPr>
      <w:b/>
      <w:bCs/>
      <w:kern w:val="44"/>
      <w:sz w:val="44"/>
      <w:szCs w:val="44"/>
    </w:rPr>
  </w:style>
  <w:style w:type="character" w:customStyle="1" w:styleId="63">
    <w:name w:val="标题 2 Char"/>
    <w:link w:val="4"/>
    <w:qFormat/>
    <w:uiPriority w:val="0"/>
    <w:rPr>
      <w:rFonts w:ascii="Arial" w:hAnsi="Arial" w:eastAsia="黑体"/>
      <w:b/>
      <w:bCs/>
      <w:kern w:val="2"/>
      <w:sz w:val="32"/>
      <w:szCs w:val="32"/>
    </w:rPr>
  </w:style>
  <w:style w:type="character" w:customStyle="1" w:styleId="64">
    <w:name w:val="标题 3 Char1"/>
    <w:link w:val="5"/>
    <w:unhideWhenUsed/>
    <w:qFormat/>
    <w:uiPriority w:val="99"/>
    <w:rPr>
      <w:rFonts w:hint="default" w:hAnsi="黑体" w:eastAsia="黑体"/>
      <w:kern w:val="2"/>
      <w:sz w:val="24"/>
    </w:rPr>
  </w:style>
  <w:style w:type="character" w:customStyle="1" w:styleId="65">
    <w:name w:val="标题 4 Char1"/>
    <w:link w:val="6"/>
    <w:unhideWhenUsed/>
    <w:qFormat/>
    <w:uiPriority w:val="99"/>
    <w:rPr>
      <w:rFonts w:hint="eastAsia" w:ascii="Cambria" w:hAnsi="Cambria" w:eastAsia="宋体"/>
      <w:b/>
      <w:kern w:val="2"/>
      <w:sz w:val="28"/>
    </w:rPr>
  </w:style>
  <w:style w:type="character" w:customStyle="1" w:styleId="66">
    <w:name w:val="标题 5 Char"/>
    <w:link w:val="7"/>
    <w:semiHidden/>
    <w:qFormat/>
    <w:uiPriority w:val="9"/>
    <w:rPr>
      <w:b/>
      <w:bCs/>
      <w:kern w:val="2"/>
      <w:sz w:val="28"/>
      <w:szCs w:val="28"/>
    </w:rPr>
  </w:style>
  <w:style w:type="character" w:customStyle="1" w:styleId="67">
    <w:name w:val="标题 6 Char"/>
    <w:link w:val="8"/>
    <w:qFormat/>
    <w:uiPriority w:val="0"/>
    <w:rPr>
      <w:rFonts w:ascii="Arial" w:hAnsi="Arial" w:eastAsia="黑体"/>
      <w:b/>
      <w:bCs/>
      <w:sz w:val="24"/>
      <w:szCs w:val="24"/>
    </w:rPr>
  </w:style>
  <w:style w:type="character" w:customStyle="1" w:styleId="68">
    <w:name w:val="标题 7 Char"/>
    <w:link w:val="9"/>
    <w:qFormat/>
    <w:uiPriority w:val="0"/>
    <w:rPr>
      <w:b/>
      <w:bCs/>
      <w:sz w:val="24"/>
      <w:szCs w:val="24"/>
    </w:rPr>
  </w:style>
  <w:style w:type="character" w:customStyle="1" w:styleId="69">
    <w:name w:val="标题 8 Char"/>
    <w:link w:val="10"/>
    <w:qFormat/>
    <w:uiPriority w:val="0"/>
    <w:rPr>
      <w:rFonts w:ascii="Arial" w:hAnsi="Arial" w:eastAsia="黑体"/>
      <w:sz w:val="24"/>
      <w:szCs w:val="24"/>
    </w:rPr>
  </w:style>
  <w:style w:type="character" w:customStyle="1" w:styleId="70">
    <w:name w:val="标题 9 Char"/>
    <w:link w:val="11"/>
    <w:qFormat/>
    <w:uiPriority w:val="0"/>
    <w:rPr>
      <w:rFonts w:ascii="Arial" w:hAnsi="Arial" w:eastAsia="黑体"/>
      <w:sz w:val="21"/>
      <w:szCs w:val="21"/>
    </w:rPr>
  </w:style>
  <w:style w:type="character" w:customStyle="1" w:styleId="71">
    <w:name w:val="正文缩进 Char"/>
    <w:link w:val="13"/>
    <w:qFormat/>
    <w:uiPriority w:val="0"/>
    <w:rPr>
      <w:b/>
      <w:kern w:val="2"/>
      <w:sz w:val="24"/>
    </w:rPr>
  </w:style>
  <w:style w:type="character" w:customStyle="1" w:styleId="72">
    <w:name w:val="文档结构图 Char"/>
    <w:link w:val="15"/>
    <w:qFormat/>
    <w:uiPriority w:val="0"/>
    <w:rPr>
      <w:kern w:val="2"/>
      <w:sz w:val="21"/>
      <w:szCs w:val="24"/>
      <w:shd w:val="clear" w:color="auto" w:fill="000080"/>
    </w:rPr>
  </w:style>
  <w:style w:type="character" w:customStyle="1" w:styleId="73">
    <w:name w:val="批注文字 Char1"/>
    <w:link w:val="16"/>
    <w:semiHidden/>
    <w:qFormat/>
    <w:uiPriority w:val="99"/>
    <w:rPr>
      <w:kern w:val="2"/>
      <w:sz w:val="21"/>
    </w:rPr>
  </w:style>
  <w:style w:type="character" w:customStyle="1" w:styleId="74">
    <w:name w:val="正文文本 3 Char"/>
    <w:link w:val="17"/>
    <w:qFormat/>
    <w:uiPriority w:val="0"/>
    <w:rPr>
      <w:rFonts w:ascii="宋体"/>
      <w:kern w:val="2"/>
      <w:sz w:val="24"/>
    </w:rPr>
  </w:style>
  <w:style w:type="character" w:customStyle="1" w:styleId="75">
    <w:name w:val="正文文本 Char"/>
    <w:link w:val="18"/>
    <w:qFormat/>
    <w:uiPriority w:val="0"/>
    <w:rPr>
      <w:kern w:val="2"/>
      <w:sz w:val="21"/>
      <w:szCs w:val="24"/>
    </w:rPr>
  </w:style>
  <w:style w:type="character" w:customStyle="1" w:styleId="76">
    <w:name w:val="正文文本缩进 Char"/>
    <w:link w:val="19"/>
    <w:qFormat/>
    <w:uiPriority w:val="0"/>
    <w:rPr>
      <w:rFonts w:ascii="宋体"/>
      <w:kern w:val="2"/>
      <w:sz w:val="24"/>
    </w:rPr>
  </w:style>
  <w:style w:type="character" w:customStyle="1" w:styleId="77">
    <w:name w:val="纯文本 Char"/>
    <w:link w:val="23"/>
    <w:qFormat/>
    <w:uiPriority w:val="0"/>
    <w:rPr>
      <w:rFonts w:ascii="宋体" w:hAnsi="Courier New"/>
      <w:kern w:val="2"/>
      <w:sz w:val="28"/>
    </w:rPr>
  </w:style>
  <w:style w:type="character" w:customStyle="1" w:styleId="78">
    <w:name w:val="正文文本缩进 2 Char"/>
    <w:link w:val="26"/>
    <w:qFormat/>
    <w:uiPriority w:val="0"/>
    <w:rPr>
      <w:rFonts w:ascii="宋体"/>
      <w:kern w:val="2"/>
      <w:sz w:val="21"/>
    </w:rPr>
  </w:style>
  <w:style w:type="character" w:customStyle="1" w:styleId="79">
    <w:name w:val="批注框文本 Char"/>
    <w:link w:val="27"/>
    <w:semiHidden/>
    <w:qFormat/>
    <w:uiPriority w:val="99"/>
    <w:rPr>
      <w:kern w:val="2"/>
      <w:sz w:val="18"/>
      <w:szCs w:val="18"/>
    </w:rPr>
  </w:style>
  <w:style w:type="character" w:customStyle="1" w:styleId="80">
    <w:name w:val="页脚 Char1"/>
    <w:link w:val="28"/>
    <w:unhideWhenUsed/>
    <w:qFormat/>
    <w:uiPriority w:val="99"/>
    <w:rPr>
      <w:rFonts w:hint="default" w:eastAsia="宋体"/>
      <w:kern w:val="2"/>
      <w:sz w:val="18"/>
    </w:rPr>
  </w:style>
  <w:style w:type="character" w:customStyle="1" w:styleId="81">
    <w:name w:val="页眉 Char1"/>
    <w:link w:val="29"/>
    <w:unhideWhenUsed/>
    <w:qFormat/>
    <w:uiPriority w:val="99"/>
    <w:rPr>
      <w:rFonts w:hint="default" w:eastAsia="宋体"/>
      <w:kern w:val="2"/>
      <w:sz w:val="18"/>
      <w:lang w:val="en-US" w:eastAsia="zh-CN"/>
    </w:rPr>
  </w:style>
  <w:style w:type="character" w:customStyle="1" w:styleId="82">
    <w:name w:val="副标题 Char"/>
    <w:link w:val="32"/>
    <w:qFormat/>
    <w:uiPriority w:val="11"/>
    <w:rPr>
      <w:rFonts w:ascii="Cambria" w:hAnsi="Cambria" w:cs="Times New Roman"/>
      <w:b/>
      <w:bCs/>
      <w:kern w:val="28"/>
      <w:sz w:val="32"/>
      <w:szCs w:val="32"/>
    </w:rPr>
  </w:style>
  <w:style w:type="character" w:customStyle="1" w:styleId="83">
    <w:name w:val="脚注文本 Char"/>
    <w:link w:val="33"/>
    <w:qFormat/>
    <w:uiPriority w:val="0"/>
    <w:rPr>
      <w:kern w:val="2"/>
    </w:rPr>
  </w:style>
  <w:style w:type="character" w:customStyle="1" w:styleId="84">
    <w:name w:val="正文文本缩进 3 Char"/>
    <w:link w:val="35"/>
    <w:qFormat/>
    <w:uiPriority w:val="0"/>
    <w:rPr>
      <w:kern w:val="2"/>
      <w:sz w:val="16"/>
      <w:szCs w:val="16"/>
    </w:rPr>
  </w:style>
  <w:style w:type="character" w:customStyle="1" w:styleId="85">
    <w:name w:val="标题 Char"/>
    <w:link w:val="41"/>
    <w:qFormat/>
    <w:uiPriority w:val="0"/>
    <w:rPr>
      <w:rFonts w:ascii="Arial" w:hAnsi="Arial"/>
      <w:b/>
      <w:sz w:val="32"/>
    </w:rPr>
  </w:style>
  <w:style w:type="character" w:customStyle="1" w:styleId="86">
    <w:name w:val="批注主题 Char"/>
    <w:link w:val="42"/>
    <w:qFormat/>
    <w:uiPriority w:val="0"/>
    <w:rPr>
      <w:b/>
      <w:bCs/>
      <w:kern w:val="2"/>
      <w:sz w:val="21"/>
      <w:szCs w:val="24"/>
    </w:rPr>
  </w:style>
  <w:style w:type="character" w:customStyle="1" w:styleId="87">
    <w:name w:val="font161"/>
    <w:qFormat/>
    <w:uiPriority w:val="0"/>
    <w:rPr>
      <w:b/>
      <w:bCs/>
      <w:sz w:val="32"/>
      <w:szCs w:val="32"/>
    </w:rPr>
  </w:style>
  <w:style w:type="character" w:customStyle="1" w:styleId="88">
    <w:name w:val="Char Char2"/>
    <w:qFormat/>
    <w:uiPriority w:val="0"/>
    <w:rPr>
      <w:rFonts w:eastAsia="宋体"/>
      <w:kern w:val="2"/>
      <w:sz w:val="21"/>
      <w:szCs w:val="24"/>
      <w:lang w:val="en-US" w:eastAsia="zh-CN" w:bidi="ar-SA"/>
    </w:rPr>
  </w:style>
  <w:style w:type="character" w:customStyle="1" w:styleId="89">
    <w:name w:val="无间隔 Char"/>
    <w:link w:val="90"/>
    <w:qFormat/>
    <w:uiPriority w:val="1"/>
    <w:rPr>
      <w:kern w:val="2"/>
      <w:sz w:val="21"/>
      <w:szCs w:val="24"/>
      <w:lang w:val="en-US" w:eastAsia="zh-CN" w:bidi="ar-SA"/>
    </w:rPr>
  </w:style>
  <w:style w:type="paragraph" w:styleId="90">
    <w:name w:val="No Spacing"/>
    <w:link w:val="89"/>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1">
    <w:name w:val="页眉 Char"/>
    <w:qFormat/>
    <w:uiPriority w:val="0"/>
    <w:rPr>
      <w:kern w:val="2"/>
      <w:sz w:val="18"/>
    </w:rPr>
  </w:style>
  <w:style w:type="character" w:customStyle="1" w:styleId="92">
    <w:name w:val="引用 Char"/>
    <w:link w:val="93"/>
    <w:qFormat/>
    <w:uiPriority w:val="29"/>
    <w:rPr>
      <w:i/>
      <w:iCs/>
      <w:color w:val="000000"/>
      <w:kern w:val="2"/>
      <w:sz w:val="21"/>
      <w:szCs w:val="24"/>
    </w:rPr>
  </w:style>
  <w:style w:type="paragraph" w:styleId="93">
    <w:name w:val="Quote"/>
    <w:basedOn w:val="1"/>
    <w:next w:val="1"/>
    <w:link w:val="92"/>
    <w:qFormat/>
    <w:uiPriority w:val="29"/>
    <w:rPr>
      <w:i/>
      <w:iCs/>
      <w:color w:val="000000"/>
    </w:rPr>
  </w:style>
  <w:style w:type="character" w:customStyle="1" w:styleId="94">
    <w:name w:val="明显参考1"/>
    <w:qFormat/>
    <w:uiPriority w:val="32"/>
    <w:rPr>
      <w:b/>
      <w:bCs/>
      <w:smallCaps/>
      <w:color w:val="C0504D"/>
      <w:spacing w:val="5"/>
      <w:u w:val="single"/>
    </w:rPr>
  </w:style>
  <w:style w:type="character" w:customStyle="1" w:styleId="95">
    <w:name w:val="明显强调1"/>
    <w:qFormat/>
    <w:uiPriority w:val="21"/>
    <w:rPr>
      <w:b/>
      <w:bCs/>
      <w:i/>
      <w:iCs/>
      <w:color w:val="4F81BD"/>
    </w:rPr>
  </w:style>
  <w:style w:type="character" w:customStyle="1" w:styleId="96">
    <w:name w:val="不明显强调1"/>
    <w:qFormat/>
    <w:uiPriority w:val="19"/>
    <w:rPr>
      <w:i/>
      <w:iCs/>
      <w:color w:val="808080"/>
    </w:rPr>
  </w:style>
  <w:style w:type="character" w:customStyle="1" w:styleId="97">
    <w:name w:val="明显引用 Char"/>
    <w:link w:val="98"/>
    <w:qFormat/>
    <w:uiPriority w:val="30"/>
    <w:rPr>
      <w:b/>
      <w:bCs/>
      <w:i/>
      <w:iCs/>
      <w:color w:val="4F81BD"/>
      <w:kern w:val="2"/>
      <w:sz w:val="21"/>
      <w:szCs w:val="24"/>
    </w:rPr>
  </w:style>
  <w:style w:type="paragraph" w:styleId="98">
    <w:name w:val="Intense Quote"/>
    <w:basedOn w:val="1"/>
    <w:next w:val="1"/>
    <w:link w:val="97"/>
    <w:qFormat/>
    <w:uiPriority w:val="30"/>
    <w:pPr>
      <w:pBdr>
        <w:bottom w:val="single" w:color="4F81BD" w:sz="4" w:space="4"/>
      </w:pBdr>
      <w:spacing w:before="200" w:after="280"/>
      <w:ind w:left="936" w:right="936"/>
    </w:pPr>
    <w:rPr>
      <w:b/>
      <w:bCs/>
      <w:i/>
      <w:iCs/>
      <w:color w:val="4F81BD"/>
    </w:rPr>
  </w:style>
  <w:style w:type="character" w:customStyle="1" w:styleId="99">
    <w:name w:val="Char Char8"/>
    <w:qFormat/>
    <w:uiPriority w:val="0"/>
    <w:rPr>
      <w:rFonts w:ascii="Arial" w:hAnsi="Arial" w:eastAsia="黑体"/>
      <w:b/>
      <w:bCs/>
      <w:kern w:val="2"/>
      <w:sz w:val="32"/>
      <w:szCs w:val="32"/>
      <w:lang w:val="en-US" w:eastAsia="zh-CN" w:bidi="ar-SA"/>
    </w:rPr>
  </w:style>
  <w:style w:type="character" w:customStyle="1" w:styleId="100">
    <w:name w:val="页脚 Char"/>
    <w:qFormat/>
    <w:uiPriority w:val="0"/>
    <w:rPr>
      <w:kern w:val="2"/>
      <w:sz w:val="18"/>
    </w:rPr>
  </w:style>
  <w:style w:type="character" w:customStyle="1" w:styleId="101">
    <w:name w:val="样式 Char"/>
    <w:link w:val="102"/>
    <w:qFormat/>
    <w:uiPriority w:val="0"/>
    <w:rPr>
      <w:rFonts w:ascii="宋体" w:hAnsi="宋体" w:cs="宋体"/>
      <w:sz w:val="24"/>
      <w:szCs w:val="24"/>
      <w:lang w:val="en-US" w:eastAsia="zh-CN" w:bidi="ar-SA"/>
    </w:rPr>
  </w:style>
  <w:style w:type="paragraph" w:customStyle="1" w:styleId="102">
    <w:name w:val="样式"/>
    <w:link w:val="101"/>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03">
    <w:name w:val="标题 3 Char"/>
    <w:qFormat/>
    <w:uiPriority w:val="0"/>
    <w:rPr>
      <w:rFonts w:ascii="黑体" w:hAnsi="宋体" w:eastAsia="黑体"/>
      <w:bCs/>
      <w:kern w:val="2"/>
      <w:sz w:val="28"/>
      <w:szCs w:val="28"/>
    </w:rPr>
  </w:style>
  <w:style w:type="character" w:customStyle="1" w:styleId="104">
    <w:name w:val="标题 4 Char"/>
    <w:qFormat/>
    <w:uiPriority w:val="0"/>
    <w:rPr>
      <w:rFonts w:ascii="Arial" w:hAnsi="Arial" w:eastAsia="黑体"/>
      <w:b/>
      <w:bCs/>
      <w:kern w:val="2"/>
      <w:sz w:val="28"/>
      <w:szCs w:val="28"/>
    </w:rPr>
  </w:style>
  <w:style w:type="character" w:customStyle="1" w:styleId="105">
    <w:name w:val="Char Char7"/>
    <w:qFormat/>
    <w:uiPriority w:val="0"/>
    <w:rPr>
      <w:rFonts w:ascii="Arial" w:hAnsi="Arial" w:eastAsia="黑体"/>
      <w:b/>
      <w:bCs/>
      <w:kern w:val="2"/>
      <w:sz w:val="32"/>
      <w:szCs w:val="32"/>
      <w:lang w:val="en-US" w:eastAsia="zh-CN" w:bidi="ar-SA"/>
    </w:rPr>
  </w:style>
  <w:style w:type="character" w:customStyle="1" w:styleId="106">
    <w:name w:val="不明显参考1"/>
    <w:qFormat/>
    <w:uiPriority w:val="31"/>
    <w:rPr>
      <w:smallCaps/>
      <w:color w:val="C0504D"/>
      <w:u w:val="single"/>
    </w:rPr>
  </w:style>
  <w:style w:type="character" w:customStyle="1" w:styleId="107">
    <w:name w:val="书籍标题1"/>
    <w:qFormat/>
    <w:uiPriority w:val="33"/>
    <w:rPr>
      <w:b/>
      <w:bCs/>
      <w:smallCaps/>
      <w:spacing w:val="5"/>
    </w:rPr>
  </w:style>
  <w:style w:type="character" w:customStyle="1" w:styleId="108">
    <w:name w:val="Char Char"/>
    <w:qFormat/>
    <w:uiPriority w:val="0"/>
    <w:rPr>
      <w:rFonts w:ascii="Arial" w:hAnsi="Arial" w:eastAsia="黑体"/>
      <w:b/>
      <w:bCs/>
      <w:kern w:val="2"/>
      <w:sz w:val="32"/>
      <w:szCs w:val="32"/>
      <w:lang w:val="en-US" w:eastAsia="zh-CN" w:bidi="ar-SA"/>
    </w:rPr>
  </w:style>
  <w:style w:type="character" w:customStyle="1" w:styleId="109">
    <w:name w:val="批注文字 Char"/>
    <w:qFormat/>
    <w:uiPriority w:val="0"/>
    <w:rPr>
      <w:rFonts w:eastAsia="宋体"/>
      <w:kern w:val="2"/>
      <w:sz w:val="21"/>
      <w:szCs w:val="24"/>
      <w:lang w:val="en-US" w:eastAsia="zh-CN" w:bidi="ar-SA"/>
    </w:rPr>
  </w:style>
  <w:style w:type="paragraph" w:customStyle="1" w:styleId="11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11">
    <w:name w:val="TOC 标题1"/>
    <w:basedOn w:val="3"/>
    <w:next w:val="1"/>
    <w:qFormat/>
    <w:uiPriority w:val="39"/>
    <w:pPr>
      <w:spacing w:line="578" w:lineRule="auto"/>
      <w:outlineLvl w:val="9"/>
    </w:pPr>
  </w:style>
  <w:style w:type="paragraph" w:customStyle="1" w:styleId="112">
    <w:name w:val="样式 标题 2 + 黑色 行距: 1.5 倍行距"/>
    <w:basedOn w:val="4"/>
    <w:qFormat/>
    <w:uiPriority w:val="0"/>
    <w:pPr>
      <w:spacing w:line="360" w:lineRule="auto"/>
    </w:pPr>
    <w:rPr>
      <w:rFonts w:eastAsia="宋体" w:cs="宋体"/>
      <w:color w:val="000000"/>
      <w:szCs w:val="20"/>
    </w:rPr>
  </w:style>
  <w:style w:type="paragraph" w:customStyle="1" w:styleId="113">
    <w:name w:val="样式 标题 3 + (中文) 黑体 小四 非加粗 段前: 7.8 磅 段后: 0 磅 行距: 固定值 20 磅"/>
    <w:basedOn w:val="5"/>
    <w:qFormat/>
    <w:uiPriority w:val="0"/>
    <w:pPr>
      <w:spacing w:before="0" w:after="0" w:line="400" w:lineRule="exact"/>
    </w:pPr>
    <w:rPr>
      <w:rFonts w:cs="宋体"/>
      <w:b/>
      <w:bCs/>
    </w:rPr>
  </w:style>
  <w:style w:type="paragraph" w:customStyle="1" w:styleId="114">
    <w:name w:val="样式3"/>
    <w:basedOn w:val="5"/>
    <w:qFormat/>
    <w:uiPriority w:val="0"/>
    <w:rPr>
      <w:rFonts w:eastAsia="Arial"/>
    </w:rPr>
  </w:style>
  <w:style w:type="paragraph" w:styleId="115">
    <w:name w:val="List Paragraph"/>
    <w:basedOn w:val="1"/>
    <w:qFormat/>
    <w:uiPriority w:val="34"/>
    <w:pPr>
      <w:ind w:firstLine="420" w:firstLineChars="200"/>
    </w:pPr>
  </w:style>
  <w:style w:type="paragraph" w:customStyle="1" w:styleId="116">
    <w:name w:val="Personal Name"/>
    <w:basedOn w:val="41"/>
    <w:qFormat/>
    <w:uiPriority w:val="0"/>
    <w:rPr>
      <w:rFonts w:ascii="Impact" w:hAnsi="Impact"/>
      <w:b w:val="0"/>
      <w:caps/>
      <w:color w:val="000000"/>
      <w:sz w:val="28"/>
      <w:szCs w:val="28"/>
    </w:rPr>
  </w:style>
  <w:style w:type="paragraph" w:customStyle="1" w:styleId="117">
    <w:name w:val="样式4"/>
    <w:basedOn w:val="5"/>
    <w:qFormat/>
    <w:uiPriority w:val="0"/>
    <w:rPr>
      <w:rFonts w:eastAsia="Arial"/>
    </w:rPr>
  </w:style>
  <w:style w:type="paragraph" w:customStyle="1" w:styleId="118">
    <w:name w:val="表格文字"/>
    <w:basedOn w:val="1"/>
    <w:qFormat/>
    <w:uiPriority w:val="0"/>
    <w:pPr>
      <w:adjustRightInd w:val="0"/>
      <w:spacing w:line="420" w:lineRule="atLeast"/>
      <w:jc w:val="left"/>
      <w:textAlignment w:val="baseline"/>
    </w:pPr>
    <w:rPr>
      <w:kern w:val="0"/>
    </w:rPr>
  </w:style>
  <w:style w:type="paragraph" w:customStyle="1" w:styleId="119">
    <w:name w:val="标题 2 + 黑色 行距: 1.5 倍行距"/>
    <w:basedOn w:val="4"/>
    <w:qFormat/>
    <w:uiPriority w:val="0"/>
    <w:pPr>
      <w:spacing w:line="360" w:lineRule="auto"/>
    </w:pPr>
    <w:rPr>
      <w:rFonts w:eastAsia="宋体" w:cs="宋体"/>
      <w:color w:val="000000"/>
      <w:szCs w:val="20"/>
    </w:rPr>
  </w:style>
  <w:style w:type="paragraph" w:customStyle="1" w:styleId="120">
    <w:name w:val="样式2"/>
    <w:basedOn w:val="5"/>
    <w:qFormat/>
    <w:uiPriority w:val="0"/>
  </w:style>
  <w:style w:type="paragraph" w:customStyle="1" w:styleId="121">
    <w:name w:val="样式1"/>
    <w:basedOn w:val="5"/>
    <w:qFormat/>
    <w:uiPriority w:val="0"/>
    <w:rPr>
      <w:rFonts w:eastAsia="Arial"/>
    </w:rPr>
  </w:style>
  <w:style w:type="paragraph" w:customStyle="1" w:styleId="122">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3">
    <w:name w:val="6'"/>
    <w:basedOn w:val="1"/>
    <w:qFormat/>
    <w:uiPriority w:val="0"/>
    <w:pPr>
      <w:autoSpaceDE w:val="0"/>
      <w:autoSpaceDN w:val="0"/>
      <w:adjustRightInd w:val="0"/>
      <w:snapToGrid w:val="0"/>
      <w:spacing w:line="320" w:lineRule="exact"/>
      <w:jc w:val="center"/>
      <w:textAlignment w:val="baseline"/>
    </w:pPr>
    <w:rPr>
      <w:spacing w:val="20"/>
      <w:kern w:val="28"/>
    </w:rPr>
  </w:style>
  <w:style w:type="paragraph" w:customStyle="1" w:styleId="124">
    <w:name w:val="纯文本1"/>
    <w:basedOn w:val="1"/>
    <w:qFormat/>
    <w:uiPriority w:val="0"/>
    <w:pPr>
      <w:adjustRightInd w:val="0"/>
      <w:textAlignment w:val="baseline"/>
    </w:pPr>
    <w:rPr>
      <w:rFonts w:ascii="宋体" w:hAnsi="Courier New" w:eastAsia="楷体_GB2312"/>
      <w:sz w:val="26"/>
    </w:rPr>
  </w:style>
  <w:style w:type="paragraph" w:customStyle="1" w:styleId="125">
    <w:name w:val="纯文本2"/>
    <w:basedOn w:val="1"/>
    <w:qFormat/>
    <w:uiPriority w:val="0"/>
    <w:rPr>
      <w:rFonts w:ascii="宋体" w:hAnsi="Courier New"/>
      <w:sz w:val="28"/>
    </w:rPr>
  </w:style>
  <w:style w:type="paragraph" w:customStyle="1" w:styleId="126">
    <w:name w:val="1"/>
    <w:basedOn w:val="1"/>
    <w:next w:val="1"/>
    <w:qFormat/>
    <w:uiPriority w:val="0"/>
  </w:style>
  <w:style w:type="paragraph" w:customStyle="1" w:styleId="127">
    <w:name w:val="表格"/>
    <w:basedOn w:val="1"/>
    <w:qFormat/>
    <w:uiPriority w:val="0"/>
    <w:pPr>
      <w:jc w:val="center"/>
      <w:textAlignment w:val="center"/>
    </w:pPr>
    <w:rPr>
      <w:rFonts w:ascii="华文细黑" w:hAnsi="华文细黑"/>
      <w:kern w:val="0"/>
    </w:rPr>
  </w:style>
  <w:style w:type="paragraph" w:customStyle="1" w:styleId="128">
    <w:name w:val="正文文本缩进1"/>
    <w:basedOn w:val="1"/>
    <w:qFormat/>
    <w:uiPriority w:val="0"/>
    <w:pPr>
      <w:spacing w:line="360" w:lineRule="auto"/>
      <w:ind w:firstLine="420"/>
    </w:pPr>
    <w:rPr>
      <w:rFonts w:ascii="宋体"/>
      <w:sz w:val="24"/>
    </w:rPr>
  </w:style>
  <w:style w:type="paragraph" w:customStyle="1" w:styleId="129">
    <w:name w:val="Char"/>
    <w:basedOn w:val="1"/>
    <w:qFormat/>
    <w:uiPriority w:val="0"/>
    <w:pPr>
      <w:tabs>
        <w:tab w:val="left" w:pos="360"/>
      </w:tabs>
    </w:pPr>
    <w:rPr>
      <w:sz w:val="24"/>
    </w:rPr>
  </w:style>
  <w:style w:type="paragraph" w:customStyle="1" w:styleId="130">
    <w:name w:val="Char Char2 Char Char"/>
    <w:basedOn w:val="15"/>
    <w:unhideWhenUsed/>
    <w:qFormat/>
    <w:uiPriority w:val="99"/>
    <w:rPr>
      <w:rFonts w:hint="eastAsia" w:ascii="Tahoma" w:hAnsi="Tahoma"/>
      <w:sz w:val="24"/>
    </w:rPr>
  </w:style>
  <w:style w:type="paragraph" w:customStyle="1" w:styleId="131">
    <w:name w:val="格式３"/>
    <w:basedOn w:val="1"/>
    <w:qFormat/>
    <w:uiPriority w:val="0"/>
    <w:pPr>
      <w:spacing w:line="420" w:lineRule="exact"/>
      <w:ind w:left="600" w:hanging="600" w:hangingChars="250"/>
    </w:pPr>
    <w:rPr>
      <w:rFonts w:ascii="宋体" w:hAnsi="宋体"/>
      <w:color w:val="000000"/>
      <w:sz w:val="24"/>
      <w:szCs w:val="20"/>
    </w:rPr>
  </w:style>
  <w:style w:type="paragraph" w:customStyle="1" w:styleId="132">
    <w:name w:val="样式 标题 1 + 黑体 三号 非加粗 居中 段前: 6 磅 段后: 6 磅 行距: 固定值 20 磅"/>
    <w:basedOn w:val="3"/>
    <w:qFormat/>
    <w:uiPriority w:val="0"/>
    <w:pPr>
      <w:spacing w:before="120" w:after="120" w:line="400" w:lineRule="exact"/>
    </w:pPr>
    <w:rPr>
      <w:rFonts w:ascii="黑体" w:hAnsi="黑体" w:eastAsia="黑体" w:cs="宋体"/>
      <w:b w:val="0"/>
      <w:bCs w:val="0"/>
      <w:sz w:val="32"/>
      <w:szCs w:val="20"/>
    </w:rPr>
  </w:style>
  <w:style w:type="character" w:customStyle="1" w:styleId="133">
    <w:name w:val="font21"/>
    <w:qFormat/>
    <w:uiPriority w:val="0"/>
    <w:rPr>
      <w:rFonts w:hint="eastAsia" w:ascii="宋体" w:hAnsi="宋体" w:eastAsia="宋体" w:cs="宋体"/>
      <w:b/>
      <w:color w:val="000000"/>
      <w:sz w:val="22"/>
      <w:szCs w:val="22"/>
      <w:u w:val="none"/>
    </w:rPr>
  </w:style>
  <w:style w:type="character" w:customStyle="1" w:styleId="134">
    <w:name w:val="font31"/>
    <w:qFormat/>
    <w:uiPriority w:val="0"/>
    <w:rPr>
      <w:rFonts w:hint="eastAsia" w:ascii="宋体" w:hAnsi="宋体" w:eastAsia="宋体" w:cs="宋体"/>
      <w:color w:val="000000"/>
      <w:sz w:val="26"/>
      <w:szCs w:val="26"/>
      <w:u w:val="single"/>
    </w:rPr>
  </w:style>
  <w:style w:type="character" w:customStyle="1" w:styleId="135">
    <w:name w:val="font11"/>
    <w:qFormat/>
    <w:uiPriority w:val="0"/>
    <w:rPr>
      <w:rFonts w:hint="eastAsia" w:ascii="宋体" w:hAnsi="宋体" w:eastAsia="宋体" w:cs="宋体"/>
      <w:color w:val="000000"/>
      <w:sz w:val="26"/>
      <w:szCs w:val="26"/>
      <w:u w:val="none"/>
    </w:rPr>
  </w:style>
  <w:style w:type="character" w:customStyle="1" w:styleId="136">
    <w:name w:val="hover"/>
    <w:basedOn w:val="45"/>
    <w:qFormat/>
    <w:uiPriority w:val="0"/>
    <w:rPr>
      <w:color w:val="5FB878"/>
    </w:rPr>
  </w:style>
  <w:style w:type="character" w:customStyle="1" w:styleId="137">
    <w:name w:val="hover1"/>
    <w:basedOn w:val="45"/>
    <w:qFormat/>
    <w:uiPriority w:val="0"/>
    <w:rPr>
      <w:color w:val="5FB878"/>
    </w:rPr>
  </w:style>
  <w:style w:type="character" w:customStyle="1" w:styleId="138">
    <w:name w:val="hover2"/>
    <w:basedOn w:val="45"/>
    <w:qFormat/>
    <w:uiPriority w:val="0"/>
    <w:rPr>
      <w:color w:val="FFFFFF"/>
    </w:rPr>
  </w:style>
  <w:style w:type="character" w:customStyle="1" w:styleId="139">
    <w:name w:val="Intense Emphasis"/>
    <w:qFormat/>
    <w:uiPriority w:val="21"/>
    <w:rPr>
      <w:b/>
      <w:bCs/>
      <w:i/>
      <w:iCs/>
      <w:color w:val="4F81BD"/>
    </w:rPr>
  </w:style>
  <w:style w:type="paragraph" w:customStyle="1" w:styleId="140">
    <w:name w:val="+正文"/>
    <w:basedOn w:val="1"/>
    <w:qFormat/>
    <w:uiPriority w:val="0"/>
    <w:pPr>
      <w:spacing w:line="360" w:lineRule="auto"/>
      <w:ind w:firstLine="200" w:firstLineChars="200"/>
    </w:pPr>
    <w:rPr>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43</Pages>
  <Words>20428</Words>
  <Characters>21812</Characters>
  <Lines>214</Lines>
  <Paragraphs>60</Paragraphs>
  <TotalTime>6</TotalTime>
  <ScaleCrop>false</ScaleCrop>
  <LinksUpToDate>false</LinksUpToDate>
  <CharactersWithSpaces>23916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2022-04-18T07:56:00Z</dcterms:created>
  <dc:creator>kikmfga</dc:creator>
  <cp:lastModifiedBy>Administrator</cp:lastModifiedBy>
  <cp:lastPrinted>2023-03-06T02:07:00Z</cp:lastPrinted>
  <dcterms:modified xsi:type="dcterms:W3CDTF">2025-02-26T02:30:39Z</dcterms:modified>
  <dc:title>江苏省房屋建筑和市政基础设施工程</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284AAA0A13564877B07C0C5871CEB232_13</vt:lpwstr>
  </property>
  <property fmtid="{D5CDD505-2E9C-101B-9397-08002B2CF9AE}" pid="4" name="KSOTemplateDocerSaveRecord">
    <vt:lpwstr>eyJoZGlkIjoiMmU1OTk2ZjkxYzMzMzQ1NjU2ZjAwYzVlNWM1N2EyMzUifQ==</vt:lpwstr>
  </property>
</Properties>
</file>